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96475"/>
      <w:bookmarkStart w:id="3" w:name="_Toc15378441"/>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96476"/>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巴中市中心医院</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both"/>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hint="eastAsia"/>
          <w:sz w:val="24"/>
          <w:lang w:eastAsia="zh-CN"/>
        </w:rPr>
      </w:pPr>
      <w:r>
        <w:rPr>
          <w:rFonts w:hint="eastAsia"/>
          <w:sz w:val="24"/>
        </w:rPr>
        <w:t>一、基本职能及主要工</w:t>
      </w:r>
      <w:r>
        <w:rPr>
          <w:rFonts w:hint="eastAsia"/>
          <w:sz w:val="24"/>
          <w:lang w:eastAsia="zh-CN"/>
        </w:rPr>
        <w:t>作</w:t>
      </w:r>
      <w:r>
        <w:tab/>
      </w:r>
      <w:r>
        <w:rPr>
          <w:rFonts w:hint="eastAsia"/>
          <w:lang w:val="en-US" w:eastAsia="zh-CN"/>
        </w:rPr>
        <w:t>4</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r>
        <w:tab/>
      </w:r>
      <w:r>
        <w:rPr>
          <w:rFonts w:hint="eastAsia"/>
          <w:lang w:val="en-US" w:eastAsia="zh-CN"/>
        </w:rPr>
        <w:t>4</w:t>
      </w:r>
    </w:p>
    <w:p>
      <w:pPr>
        <w:pStyle w:val="10"/>
        <w:adjustRightInd w:val="0"/>
        <w:snapToGrid w:val="0"/>
        <w:spacing w:before="0" w:line="440" w:lineRule="exact"/>
        <w:jc w:val="left"/>
        <w:rPr>
          <w:rFonts w:hint="eastAsia" w:ascii="Times New Roman" w:hAnsi="Times New Roman" w:eastAsia="宋体" w:cs="Times New Roman"/>
          <w:kern w:val="2"/>
          <w:sz w:val="24"/>
          <w:szCs w:val="24"/>
          <w:lang w:val="en-US" w:eastAsia="zh-CN" w:bidi="ar-SA"/>
        </w:rPr>
      </w:pPr>
      <w:r>
        <w:rPr>
          <w:rFonts w:hint="eastAsia"/>
          <w:sz w:val="24"/>
        </w:rPr>
        <w:t>第二部分</w:t>
      </w:r>
      <w:r>
        <w:rPr>
          <w:rFonts w:hint="eastAsia"/>
          <w:sz w:val="24"/>
          <w:lang w:val="en-US" w:eastAsia="zh-CN"/>
        </w:rPr>
        <w:t xml:space="preserve"> </w:t>
      </w:r>
      <w:r>
        <w:rPr>
          <w:rFonts w:hint="eastAsia" w:ascii="Times New Roman" w:hAnsi="Times New Roman" w:eastAsia="宋体" w:cs="Times New Roman"/>
          <w:kern w:val="2"/>
          <w:sz w:val="24"/>
          <w:szCs w:val="24"/>
          <w:lang w:val="en-US" w:eastAsia="zh-CN" w:bidi="ar-SA"/>
        </w:rPr>
        <w:t>2019年度部门决算情况说明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r>
        <w:tab/>
      </w:r>
      <w:r>
        <w:rPr>
          <w:rFonts w:hint="eastAsia"/>
          <w:lang w:val="en-US" w:eastAsia="zh-CN"/>
        </w:rPr>
        <w:t>5</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r>
        <w:tab/>
      </w:r>
      <w:r>
        <w:rPr>
          <w:rFonts w:hint="eastAsia"/>
          <w:lang w:val="en-US" w:eastAsia="zh-CN"/>
        </w:rPr>
        <w:t>6</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r>
        <w:tab/>
      </w:r>
      <w:r>
        <w:rPr>
          <w:rFonts w:hint="eastAsia"/>
          <w:lang w:val="en-US" w:eastAsia="zh-CN"/>
        </w:rPr>
        <w:t>6</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tab/>
      </w:r>
      <w:r>
        <w:rPr>
          <w:rFonts w:hint="eastAsia"/>
          <w:lang w:val="en-US" w:eastAsia="zh-CN"/>
        </w:rPr>
        <w:t>7</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tab/>
      </w:r>
      <w:r>
        <w:rPr>
          <w:rFonts w:hint="eastAsia"/>
          <w:lang w:val="en-US" w:eastAsia="zh-CN"/>
        </w:rPr>
        <w:t>8</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tab/>
      </w:r>
      <w:r>
        <w:rPr>
          <w:rFonts w:hint="eastAsia"/>
          <w:lang w:val="en-US" w:eastAsia="zh-CN"/>
        </w:rPr>
        <w:t>10</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r>
        <w:tab/>
      </w:r>
      <w:r>
        <w:rPr>
          <w:rFonts w:hint="eastAsia"/>
          <w:lang w:val="en-US" w:eastAsia="zh-CN"/>
        </w:rPr>
        <w:t>11</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tab/>
      </w:r>
      <w:r>
        <w:rPr>
          <w:rFonts w:hint="eastAsia"/>
          <w:lang w:val="en-US" w:eastAsia="zh-CN"/>
        </w:rPr>
        <w:t>12</w:t>
      </w:r>
    </w:p>
    <w:p>
      <w:pPr>
        <w:pStyle w:val="11"/>
        <w:adjustRightInd w:val="0"/>
        <w:snapToGrid w:val="0"/>
        <w:spacing w:line="440" w:lineRule="exact"/>
        <w:ind w:leftChars="0"/>
        <w:jc w:val="left"/>
      </w:pPr>
      <w:r>
        <w:rPr>
          <w:rFonts w:hint="eastAsia" w:ascii="仿宋" w:hAnsi="仿宋" w:eastAsia="仿宋"/>
          <w:sz w:val="24"/>
        </w:rPr>
        <w:t>九、</w:t>
      </w:r>
      <w:r>
        <w:rPr>
          <w:sz w:val="24"/>
        </w:rPr>
        <w:t xml:space="preserve"> 国</w:t>
      </w:r>
      <w:r>
        <w:rPr>
          <w:rFonts w:hint="eastAsia"/>
          <w:sz w:val="24"/>
        </w:rPr>
        <w:t>有资本经营预算支出决算情况说明</w:t>
      </w:r>
      <w:r>
        <w:tab/>
      </w:r>
      <w:r>
        <w:rPr>
          <w:rFonts w:hint="eastAsia"/>
          <w:lang w:val="en-US" w:eastAsia="zh-CN"/>
        </w:rPr>
        <w:t>12</w:t>
      </w:r>
    </w:p>
    <w:p>
      <w:pPr>
        <w:adjustRightInd w:val="0"/>
        <w:snapToGrid w:val="0"/>
        <w:spacing w:line="440" w:lineRule="exact"/>
        <w:ind w:left="0" w:leftChars="0" w:firstLine="420" w:firstLineChars="175"/>
        <w:jc w:val="left"/>
        <w:rPr>
          <w:rFonts w:ascii="仿宋" w:hAnsi="仿宋" w:eastAsia="仿宋" w:cstheme="minorBidi"/>
          <w:sz w:val="24"/>
        </w:rPr>
      </w:pPr>
      <w:r>
        <w:rPr>
          <w:rFonts w:hint="eastAsia" w:ascii="仿宋" w:hAnsi="仿宋" w:eastAsia="仿宋" w:cs="Times New Roman"/>
          <w:kern w:val="2"/>
          <w:sz w:val="24"/>
          <w:szCs w:val="24"/>
          <w:lang w:val="en-US" w:eastAsia="zh-CN" w:bidi="ar-SA"/>
        </w:rPr>
        <w:t>十</w:t>
      </w:r>
      <w:r>
        <w:rPr>
          <w:rStyle w:val="15"/>
          <w:rFonts w:hint="eastAsia" w:ascii="仿宋" w:hAnsi="仿宋" w:eastAsia="仿宋"/>
          <w:color w:val="000000" w:themeColor="text1"/>
          <w:sz w:val="24"/>
          <w:u w:val="none"/>
        </w:rPr>
        <w:t>、</w:t>
      </w:r>
      <w:r>
        <w:rPr>
          <w:rFonts w:hint="eastAsia"/>
          <w:sz w:val="24"/>
        </w:rPr>
        <w:t>其他重要事项的情况说</w:t>
      </w:r>
      <w:r>
        <w:rPr>
          <w:rFonts w:hint="eastAsia"/>
          <w:sz w:val="24"/>
          <w:lang w:eastAsia="zh-CN"/>
        </w:rPr>
        <w:t>明</w:t>
      </w:r>
      <w:r>
        <w:rPr>
          <w:rFonts w:hint="eastAsia"/>
          <w:sz w:val="21"/>
          <w:szCs w:val="21"/>
          <w:shd w:val="clear" w:color="auto" w:fill="auto"/>
          <w:lang w:val="en-US" w:eastAsia="zh-CN"/>
        </w:rPr>
        <w:t>........................................................................................12</w:t>
      </w:r>
    </w:p>
    <w:p>
      <w:pPr>
        <w:pStyle w:val="10"/>
        <w:adjustRightInd w:val="0"/>
        <w:snapToGrid w:val="0"/>
        <w:spacing w:before="0" w:line="440" w:lineRule="exact"/>
        <w:jc w:val="left"/>
        <w:rPr>
          <w:rFonts w:hint="eastAsia" w:ascii="Times New Roman" w:hAnsi="Times New Roman" w:eastAsia="宋体" w:cs="Times New Roman"/>
          <w:kern w:val="2"/>
          <w:sz w:val="21"/>
          <w:szCs w:val="24"/>
          <w:lang w:val="en-US" w:eastAsia="zh-CN" w:bidi="ar-SA"/>
        </w:rPr>
      </w:pPr>
      <w:r>
        <w:rPr>
          <w:rFonts w:hint="eastAsia"/>
          <w:sz w:val="24"/>
        </w:rPr>
        <w:t>第三部分</w:t>
      </w:r>
      <w:r>
        <w:rPr>
          <w:sz w:val="24"/>
        </w:rPr>
        <w:t xml:space="preserve"> </w:t>
      </w:r>
      <w:r>
        <w:rPr>
          <w:rFonts w:hint="eastAsia"/>
          <w:sz w:val="24"/>
        </w:rPr>
        <w:t>名词解释</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18</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ascii="Times New Roman" w:hAnsi="Times New Roman" w:eastAsia="宋体" w:cs="Times New Roman"/>
          <w:kern w:val="2"/>
          <w:sz w:val="21"/>
          <w:szCs w:val="24"/>
          <w:lang w:val="en-US" w:eastAsia="zh-CN" w:bidi="ar-SA"/>
        </w:rPr>
        <w:tab/>
      </w:r>
      <w:r>
        <w:rPr>
          <w:rFonts w:hint="eastAsia" w:ascii="Times New Roman" w:hAnsi="Times New Roman" w:eastAsia="宋体" w:cs="Times New Roman"/>
          <w:kern w:val="2"/>
          <w:sz w:val="21"/>
          <w:szCs w:val="24"/>
          <w:lang w:val="en-US" w:eastAsia="zh-CN" w:bidi="ar-SA"/>
        </w:rPr>
        <w:t>21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r>
        <w:rPr>
          <w:rFonts w:ascii="Times New Roman" w:hAnsi="Times New Roman" w:eastAsia="宋体" w:cs="Times New Roman"/>
          <w:kern w:val="2"/>
          <w:sz w:val="21"/>
          <w:szCs w:val="24"/>
          <w:lang w:val="en-US" w:eastAsia="zh-CN" w:bidi="ar-SA"/>
        </w:rPr>
        <w:tab/>
      </w:r>
      <w:r>
        <w:rPr>
          <w:rFonts w:hint="eastAsia" w:cs="Times New Roman"/>
          <w:kern w:val="2"/>
          <w:sz w:val="21"/>
          <w:szCs w:val="24"/>
          <w:lang w:val="en-US" w:eastAsia="zh-CN" w:bidi="ar-SA"/>
        </w:rPr>
        <w:t>21</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hint="eastAsia"/>
          <w:sz w:val="24"/>
        </w:rPr>
      </w:pPr>
      <w:r>
        <w:rPr>
          <w:rFonts w:hint="eastAsia"/>
          <w:sz w:val="24"/>
        </w:rPr>
        <w:t>一、</w:t>
      </w:r>
      <w:r>
        <w:rPr>
          <w:rFonts w:hint="eastAsia"/>
          <w:sz w:val="24"/>
        </w:rPr>
        <w:t>收入支出决算总表</w:t>
      </w:r>
    </w:p>
    <w:p>
      <w:pPr>
        <w:pStyle w:val="11"/>
        <w:adjustRightInd w:val="0"/>
        <w:snapToGrid w:val="0"/>
        <w:spacing w:line="440" w:lineRule="exact"/>
        <w:jc w:val="left"/>
        <w:rPr>
          <w:rFonts w:hint="eastAsia"/>
          <w:sz w:val="24"/>
        </w:rPr>
      </w:pPr>
      <w:r>
        <w:rPr>
          <w:rFonts w:hint="eastAsia"/>
          <w:sz w:val="24"/>
        </w:rPr>
        <w:t>二、</w:t>
      </w:r>
      <w:r>
        <w:rPr>
          <w:rFonts w:hint="eastAsia"/>
          <w:sz w:val="24"/>
        </w:rPr>
        <w:t>收入决算</w:t>
      </w:r>
      <w:r>
        <w:rPr>
          <w:rFonts w:hint="eastAsia"/>
          <w:sz w:val="24"/>
        </w:rPr>
        <w:t>表</w:t>
      </w:r>
    </w:p>
    <w:p>
      <w:pPr>
        <w:pStyle w:val="11"/>
        <w:adjustRightInd w:val="0"/>
        <w:snapToGrid w:val="0"/>
        <w:spacing w:line="440" w:lineRule="exact"/>
        <w:jc w:val="left"/>
        <w:rPr>
          <w:rFonts w:hint="eastAsia"/>
          <w:sz w:val="24"/>
        </w:rPr>
      </w:pPr>
      <w:r>
        <w:rPr>
          <w:rFonts w:hint="eastAsia"/>
          <w:sz w:val="24"/>
        </w:rPr>
        <w:t>三、</w:t>
      </w:r>
      <w:r>
        <w:rPr>
          <w:rFonts w:hint="eastAsia"/>
          <w:sz w:val="24"/>
        </w:rPr>
        <w:t>支出决算</w:t>
      </w:r>
      <w:r>
        <w:rPr>
          <w:rFonts w:hint="eastAsia"/>
          <w:sz w:val="24"/>
        </w:rPr>
        <w:t>表</w:t>
      </w:r>
    </w:p>
    <w:p>
      <w:pPr>
        <w:pStyle w:val="11"/>
        <w:adjustRightInd w:val="0"/>
        <w:snapToGrid w:val="0"/>
        <w:spacing w:line="440" w:lineRule="exact"/>
        <w:jc w:val="left"/>
        <w:rPr>
          <w:rFonts w:hint="eastAsia"/>
          <w:sz w:val="24"/>
        </w:rPr>
      </w:pPr>
      <w:r>
        <w:rPr>
          <w:rFonts w:hint="eastAsia"/>
          <w:sz w:val="24"/>
        </w:rPr>
        <w:t>四、</w:t>
      </w:r>
      <w:r>
        <w:rPr>
          <w:rFonts w:hint="eastAsia"/>
          <w:sz w:val="24"/>
        </w:rPr>
        <w:t>财政拨款收入支出决算总表</w:t>
      </w:r>
    </w:p>
    <w:p>
      <w:pPr>
        <w:pStyle w:val="11"/>
        <w:adjustRightInd w:val="0"/>
        <w:snapToGrid w:val="0"/>
        <w:spacing w:line="440" w:lineRule="exact"/>
        <w:jc w:val="left"/>
        <w:rPr>
          <w:rFonts w:hint="eastAsia"/>
          <w:sz w:val="24"/>
        </w:rPr>
      </w:pPr>
      <w:r>
        <w:rPr>
          <w:rFonts w:hint="eastAsia"/>
          <w:sz w:val="24"/>
        </w:rPr>
        <w:t>五、财政拨款支出决算明细表</w:t>
      </w:r>
    </w:p>
    <w:p>
      <w:pPr>
        <w:pStyle w:val="11"/>
        <w:adjustRightInd w:val="0"/>
        <w:snapToGrid w:val="0"/>
        <w:spacing w:line="440" w:lineRule="exact"/>
        <w:jc w:val="left"/>
        <w:rPr>
          <w:rFonts w:hint="eastAsia"/>
          <w:sz w:val="24"/>
        </w:rPr>
      </w:pPr>
      <w:r>
        <w:rPr>
          <w:rFonts w:hint="eastAsia"/>
          <w:sz w:val="24"/>
        </w:rPr>
        <w:t>六、</w:t>
      </w:r>
      <w:r>
        <w:rPr>
          <w:rFonts w:hint="eastAsia"/>
          <w:sz w:val="24"/>
        </w:rPr>
        <w:t>一般公共预算财政拨款支出决算表</w:t>
      </w:r>
    </w:p>
    <w:p>
      <w:pPr>
        <w:pStyle w:val="11"/>
        <w:adjustRightInd w:val="0"/>
        <w:snapToGrid w:val="0"/>
        <w:spacing w:line="440" w:lineRule="exact"/>
        <w:jc w:val="left"/>
        <w:rPr>
          <w:rFonts w:hint="eastAsia"/>
          <w:sz w:val="24"/>
        </w:rPr>
      </w:pPr>
      <w:r>
        <w:rPr>
          <w:rFonts w:hint="eastAsia"/>
          <w:sz w:val="24"/>
        </w:rPr>
        <w:t>七、</w:t>
      </w:r>
      <w:r>
        <w:rPr>
          <w:rFonts w:hint="eastAsia"/>
          <w:sz w:val="24"/>
        </w:rPr>
        <w:t>一般公共预算财政拨款支出决算明细表</w:t>
      </w:r>
    </w:p>
    <w:p>
      <w:pPr>
        <w:pStyle w:val="11"/>
        <w:adjustRightInd w:val="0"/>
        <w:snapToGrid w:val="0"/>
        <w:spacing w:line="440" w:lineRule="exact"/>
        <w:jc w:val="left"/>
        <w:rPr>
          <w:rFonts w:hint="eastAsia"/>
          <w:sz w:val="24"/>
        </w:rPr>
      </w:pPr>
      <w:r>
        <w:rPr>
          <w:rFonts w:hint="eastAsia"/>
          <w:sz w:val="24"/>
        </w:rPr>
        <w:t>八、</w:t>
      </w:r>
      <w:r>
        <w:rPr>
          <w:rFonts w:hint="eastAsia"/>
          <w:sz w:val="24"/>
        </w:rPr>
        <w:t>一般公共预算财政拨款基本支出决算表</w:t>
      </w:r>
    </w:p>
    <w:p>
      <w:pPr>
        <w:pStyle w:val="11"/>
        <w:adjustRightInd w:val="0"/>
        <w:snapToGrid w:val="0"/>
        <w:spacing w:line="440" w:lineRule="exact"/>
        <w:jc w:val="left"/>
        <w:rPr>
          <w:rFonts w:hint="eastAsia"/>
          <w:sz w:val="24"/>
        </w:rPr>
      </w:pPr>
      <w:r>
        <w:rPr>
          <w:rFonts w:hint="eastAsia"/>
          <w:sz w:val="24"/>
        </w:rPr>
        <w:t>九、</w:t>
      </w:r>
      <w:r>
        <w:rPr>
          <w:rFonts w:hint="eastAsia"/>
          <w:sz w:val="24"/>
        </w:rPr>
        <w:t>一般公共预算财政拨款项目支出决算表</w:t>
      </w:r>
    </w:p>
    <w:p>
      <w:pPr>
        <w:pStyle w:val="11"/>
        <w:adjustRightInd w:val="0"/>
        <w:snapToGrid w:val="0"/>
        <w:spacing w:line="440" w:lineRule="exact"/>
        <w:jc w:val="left"/>
        <w:rPr>
          <w:rFonts w:hint="eastAsia"/>
          <w:sz w:val="24"/>
        </w:rPr>
      </w:pPr>
      <w:r>
        <w:rPr>
          <w:rFonts w:hint="eastAsia"/>
          <w:sz w:val="24"/>
        </w:rPr>
        <w:t>十、</w:t>
      </w:r>
      <w:r>
        <w:rPr>
          <w:rFonts w:hint="eastAsia"/>
          <w:sz w:val="24"/>
        </w:rPr>
        <w:t>一般公共预算财政拨款“三公”经费支出决算表</w:t>
      </w:r>
    </w:p>
    <w:p>
      <w:pPr>
        <w:pStyle w:val="11"/>
        <w:adjustRightInd w:val="0"/>
        <w:snapToGrid w:val="0"/>
        <w:spacing w:line="440" w:lineRule="exact"/>
        <w:jc w:val="left"/>
        <w:rPr>
          <w:rFonts w:hint="eastAsia"/>
          <w:sz w:val="24"/>
        </w:rPr>
      </w:pPr>
      <w:r>
        <w:rPr>
          <w:rFonts w:hint="eastAsia"/>
          <w:sz w:val="24"/>
        </w:rPr>
        <w:t>十一、</w:t>
      </w:r>
      <w:r>
        <w:rPr>
          <w:rFonts w:hint="eastAsia"/>
          <w:sz w:val="24"/>
        </w:rPr>
        <w:t>政府性基金预算财政拨款收入支出决算表</w:t>
      </w:r>
    </w:p>
    <w:p>
      <w:pPr>
        <w:pStyle w:val="11"/>
        <w:adjustRightInd w:val="0"/>
        <w:snapToGrid w:val="0"/>
        <w:spacing w:line="440" w:lineRule="exact"/>
        <w:jc w:val="left"/>
        <w:rPr>
          <w:rFonts w:hint="eastAsia"/>
          <w:sz w:val="24"/>
        </w:rPr>
      </w:pPr>
      <w:r>
        <w:rPr>
          <w:rFonts w:hint="eastAsia"/>
          <w:sz w:val="24"/>
        </w:rPr>
        <w:t>十二、</w:t>
      </w:r>
      <w:r>
        <w:rPr>
          <w:rFonts w:hint="eastAsia"/>
          <w:sz w:val="24"/>
        </w:rPr>
        <w:t>政府性基金预算财政拨款“三公”经费支出决算表</w:t>
      </w:r>
    </w:p>
    <w:p>
      <w:pPr>
        <w:pStyle w:val="11"/>
        <w:adjustRightInd w:val="0"/>
        <w:snapToGrid w:val="0"/>
        <w:spacing w:line="440" w:lineRule="exact"/>
        <w:jc w:val="left"/>
        <w:rPr>
          <w:rFonts w:hint="eastAsia"/>
          <w:sz w:val="24"/>
        </w:rPr>
      </w:pPr>
      <w:r>
        <w:rPr>
          <w:rFonts w:hint="eastAsia"/>
          <w:sz w:val="24"/>
        </w:rPr>
        <w:t>十三、</w:t>
      </w:r>
      <w:r>
        <w:rPr>
          <w:rFonts w:hint="eastAsia"/>
          <w:sz w:val="24"/>
        </w:rPr>
        <w:t>国有资本经营预算支出决算表</w:t>
      </w:r>
    </w:p>
    <w:p>
      <w:pPr>
        <w:pStyle w:val="2"/>
        <w:jc w:val="both"/>
        <w:rPr>
          <w:rFonts w:hint="eastAsia" w:ascii="黑体" w:hAnsi="黑体" w:eastAsia="黑体"/>
          <w:b w:val="0"/>
        </w:rPr>
      </w:pPr>
      <w:bookmarkStart w:id="12" w:name="_Toc15396599"/>
      <w:bookmarkStart w:id="13" w:name="_Toc15377196"/>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rPr>
          <w:rFonts w:hint="eastAsia" w:ascii="黑体" w:hAnsi="黑体" w:eastAsia="黑体"/>
          <w:b w:val="0"/>
        </w:rPr>
      </w:pP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autoSpaceDE w:val="0"/>
        <w:autoSpaceDN w:val="0"/>
        <w:adjustRightInd w:val="0"/>
        <w:ind w:firstLine="640" w:firstLineChars="200"/>
        <w:jc w:val="left"/>
        <w:rPr>
          <w:rFonts w:hint="default" w:ascii="仿宋_GB2312" w:eastAsia="仿宋_GB2312" w:cs="仿宋_GB2312"/>
          <w:kern w:val="0"/>
          <w:sz w:val="32"/>
          <w:szCs w:val="32"/>
        </w:rPr>
      </w:pPr>
      <w:bookmarkStart w:id="16" w:name="_Toc15378445"/>
      <w:bookmarkStart w:id="17" w:name="_Toc15377198"/>
      <w:r>
        <w:rPr>
          <w:rFonts w:hint="eastAsia" w:ascii="仿宋" w:hAnsi="仿宋" w:eastAsia="仿宋"/>
          <w:bCs/>
          <w:color w:val="000000"/>
          <w:sz w:val="32"/>
          <w:szCs w:val="32"/>
        </w:rPr>
        <w:t>（一）主要职能。</w:t>
      </w:r>
      <w:r>
        <w:rPr>
          <w:rFonts w:hint="default" w:ascii="仿宋_GB2312" w:eastAsia="仿宋_GB2312" w:cs="仿宋_GB2312"/>
          <w:kern w:val="0"/>
          <w:sz w:val="32"/>
          <w:szCs w:val="32"/>
        </w:rPr>
        <w:t> </w:t>
      </w:r>
    </w:p>
    <w:p>
      <w:pPr>
        <w:autoSpaceDE w:val="0"/>
        <w:autoSpaceDN w:val="0"/>
        <w:adjustRightInd w:val="0"/>
        <w:ind w:firstLine="960" w:firstLineChars="300"/>
        <w:jc w:val="left"/>
        <w:rPr>
          <w:rFonts w:hint="eastAsia" w:ascii="仿宋" w:hAnsi="仿宋" w:eastAsia="仿宋"/>
          <w:bCs/>
          <w:color w:val="000000"/>
          <w:sz w:val="32"/>
          <w:szCs w:val="32"/>
        </w:rPr>
      </w:pPr>
      <w:r>
        <w:rPr>
          <w:rFonts w:hint="default" w:ascii="仿宋_GB2312" w:eastAsia="仿宋_GB2312" w:cs="仿宋_GB2312"/>
          <w:kern w:val="0"/>
          <w:sz w:val="32"/>
          <w:szCs w:val="32"/>
        </w:rPr>
        <w:t>巴中市中心医院是集医疗、教学、科研、预防、保健为一体的一家三级甲等医院，按政府安排承办巴中市中心医院传染病分院、紧急救援中心等公共卫生项目。医疗服务对象为巴中市及周边地区人群，还承担全市的突发公共卫生事件的医疗救助工作。</w:t>
      </w:r>
    </w:p>
    <w:bookmarkEnd w:id="16"/>
    <w:bookmarkEnd w:id="17"/>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autoSpaceDE w:val="0"/>
        <w:autoSpaceDN w:val="0"/>
        <w:adjustRightInd w:val="0"/>
        <w:ind w:firstLine="960" w:firstLineChars="300"/>
        <w:jc w:val="left"/>
        <w:rPr>
          <w:rFonts w:hint="eastAsia" w:ascii="仿宋" w:hAnsi="仿宋" w:eastAsia="仿宋"/>
          <w:bCs/>
          <w:color w:val="000000"/>
          <w:sz w:val="32"/>
          <w:szCs w:val="32"/>
        </w:rPr>
      </w:pPr>
      <w:r>
        <w:rPr>
          <w:rFonts w:hint="eastAsia" w:ascii="仿宋_GB2312" w:eastAsia="仿宋_GB2312" w:cs="仿宋_GB2312"/>
          <w:kern w:val="0"/>
          <w:sz w:val="32"/>
          <w:szCs w:val="32"/>
        </w:rPr>
        <w:t>2019年，</w:t>
      </w:r>
      <w:r>
        <w:rPr>
          <w:rFonts w:hint="eastAsia" w:ascii="仿宋_GB2312" w:eastAsia="仿宋_GB2312" w:cs="仿宋_GB2312"/>
          <w:kern w:val="0"/>
          <w:sz w:val="32"/>
          <w:szCs w:val="32"/>
          <w:lang w:eastAsia="zh-CN"/>
        </w:rPr>
        <w:t>巴中市中心医院把</w:t>
      </w:r>
      <w:r>
        <w:rPr>
          <w:rFonts w:hint="eastAsia" w:ascii="仿宋_GB2312" w:eastAsia="仿宋_GB2312" w:cs="仿宋_GB2312"/>
          <w:kern w:val="0"/>
          <w:sz w:val="32"/>
          <w:szCs w:val="32"/>
        </w:rPr>
        <w:t>政治建设放在首位，党建引领成效明显</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以提质增量为重点，医疗业务大幅提升</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以精细化管理为核心，管理实效明显提高</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以深化改革为动力，患者满意度明显提高</w:t>
      </w:r>
      <w:r>
        <w:rPr>
          <w:rFonts w:hint="eastAsia" w:ascii="仿宋_GB2312" w:eastAsia="仿宋_GB2312" w:cs="仿宋_GB2312"/>
          <w:kern w:val="0"/>
          <w:sz w:val="32"/>
          <w:szCs w:val="32"/>
          <w:lang w:eastAsia="zh-CN"/>
        </w:rPr>
        <w:t>。</w:t>
      </w: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巴中市中心医院是巴中市财政局社保科对口管理的一级预算拨款定额定项补助单位</w:t>
      </w:r>
      <w:r>
        <w:rPr>
          <w:rFonts w:hint="eastAsia" w:ascii="仿宋_GB2312" w:eastAsia="仿宋_GB2312" w:cs="仿宋_GB2312"/>
          <w:kern w:val="0"/>
          <w:sz w:val="32"/>
          <w:szCs w:val="32"/>
          <w:lang w:eastAsia="zh-CN"/>
        </w:rPr>
        <w:t>，无下属二级单位。</w:t>
      </w:r>
    </w:p>
    <w:p>
      <w:pPr>
        <w:ind w:firstLine="800" w:firstLineChars="250"/>
        <w:rPr>
          <w:rFonts w:hint="eastAsia" w:ascii="仿宋_GB2312" w:eastAsia="仿宋_GB2312" w:cs="仿宋_GB2312"/>
          <w:kern w:val="0"/>
          <w:sz w:val="32"/>
          <w:szCs w:val="32"/>
          <w:lang w:eastAsia="zh-CN"/>
        </w:rPr>
      </w:pPr>
    </w:p>
    <w:p>
      <w:pPr>
        <w:ind w:firstLine="800" w:firstLineChars="250"/>
        <w:rPr>
          <w:rFonts w:hint="eastAsia" w:ascii="仿宋_GB2312" w:eastAsia="仿宋_GB2312" w:cs="仿宋_GB2312"/>
          <w:kern w:val="0"/>
          <w:sz w:val="32"/>
          <w:szCs w:val="32"/>
          <w:lang w:eastAsia="zh-CN"/>
        </w:rPr>
      </w:pPr>
    </w:p>
    <w:p>
      <w:pPr>
        <w:ind w:firstLine="800" w:firstLineChars="250"/>
        <w:rPr>
          <w:rFonts w:hint="eastAsia" w:ascii="仿宋_GB2312" w:eastAsia="仿宋_GB2312" w:cs="仿宋_GB2312"/>
          <w:kern w:val="0"/>
          <w:sz w:val="32"/>
          <w:szCs w:val="32"/>
          <w:lang w:eastAsia="zh-CN"/>
        </w:rPr>
      </w:pPr>
    </w:p>
    <w:p>
      <w:pPr>
        <w:ind w:firstLine="800" w:firstLineChars="250"/>
        <w:rPr>
          <w:rFonts w:hint="eastAsia" w:ascii="仿宋_GB2312" w:eastAsia="仿宋_GB2312" w:cs="仿宋_GB2312"/>
          <w:kern w:val="0"/>
          <w:sz w:val="32"/>
          <w:szCs w:val="32"/>
          <w:lang w:eastAsia="zh-CN"/>
        </w:rPr>
      </w:pPr>
    </w:p>
    <w:p>
      <w:pPr>
        <w:ind w:firstLine="800" w:firstLineChars="250"/>
        <w:rPr>
          <w:rFonts w:hint="eastAsia" w:ascii="仿宋_GB2312" w:eastAsia="仿宋_GB2312" w:cs="仿宋_GB2312"/>
          <w:kern w:val="0"/>
          <w:sz w:val="32"/>
          <w:szCs w:val="32"/>
          <w:lang w:eastAsia="zh-CN"/>
        </w:rPr>
      </w:pP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ind w:firstLine="800" w:firstLineChars="250"/>
        <w:rPr>
          <w:rFonts w:hint="eastAsia" w:ascii="仿宋" w:hAnsi="仿宋" w:eastAsia="仿宋"/>
          <w:color w:val="000000" w:themeColor="text1"/>
          <w:sz w:val="32"/>
          <w:szCs w:val="32"/>
        </w:rPr>
      </w:pPr>
      <w:r>
        <w:rPr>
          <w:rFonts w:hint="eastAsia" w:ascii="仿宋_GB2312" w:eastAsia="仿宋_GB2312" w:cs="仿宋_GB2312"/>
          <w:kern w:val="0"/>
          <w:sz w:val="32"/>
          <w:szCs w:val="32"/>
        </w:rPr>
        <w:t>2019年</w:t>
      </w:r>
      <w:r>
        <w:rPr>
          <w:rFonts w:hint="eastAsia" w:ascii="仿宋_GB2312" w:eastAsia="仿宋_GB2312" w:cs="仿宋_GB2312"/>
          <w:kern w:val="0"/>
          <w:sz w:val="32"/>
          <w:szCs w:val="32"/>
          <w:lang w:eastAsia="zh-CN"/>
        </w:rPr>
        <w:t>医院总</w:t>
      </w:r>
      <w:r>
        <w:rPr>
          <w:rFonts w:hint="eastAsia" w:ascii="仿宋_GB2312" w:eastAsia="仿宋_GB2312" w:cs="仿宋_GB2312"/>
          <w:kern w:val="0"/>
          <w:sz w:val="32"/>
          <w:szCs w:val="32"/>
        </w:rPr>
        <w:t>收</w:t>
      </w:r>
      <w:r>
        <w:rPr>
          <w:rFonts w:hint="eastAsia" w:ascii="仿宋_GB2312" w:eastAsia="仿宋_GB2312" w:cs="仿宋_GB2312"/>
          <w:kern w:val="0"/>
          <w:sz w:val="32"/>
          <w:szCs w:val="32"/>
          <w:lang w:eastAsia="zh-CN"/>
        </w:rPr>
        <w:t>入</w:t>
      </w:r>
      <w:r>
        <w:rPr>
          <w:rFonts w:hint="eastAsia" w:ascii="仿宋_GB2312" w:eastAsia="仿宋_GB2312" w:cs="仿宋_GB2312"/>
          <w:kern w:val="0"/>
          <w:sz w:val="32"/>
          <w:szCs w:val="32"/>
          <w:lang w:val="en-US" w:eastAsia="zh-CN"/>
        </w:rPr>
        <w:t>100316.76万元，</w:t>
      </w:r>
      <w:r>
        <w:rPr>
          <w:rFonts w:hint="eastAsia" w:ascii="仿宋_GB2312" w:eastAsia="仿宋_GB2312" w:cs="仿宋_GB2312"/>
          <w:kern w:val="0"/>
          <w:sz w:val="32"/>
          <w:szCs w:val="32"/>
        </w:rPr>
        <w:t>2018年医院总收入83063.0</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，较去年增加</w:t>
      </w:r>
      <w:r>
        <w:rPr>
          <w:rFonts w:hint="eastAsia" w:ascii="仿宋_GB2312" w:eastAsia="仿宋_GB2312" w:cs="仿宋_GB2312"/>
          <w:kern w:val="0"/>
          <w:sz w:val="32"/>
          <w:szCs w:val="32"/>
          <w:lang w:val="en-US" w:eastAsia="zh-CN"/>
        </w:rPr>
        <w:t>17253.72</w:t>
      </w:r>
      <w:r>
        <w:rPr>
          <w:rFonts w:hint="eastAsia" w:ascii="仿宋_GB2312" w:eastAsia="仿宋_GB2312" w:cs="仿宋_GB2312"/>
          <w:kern w:val="0"/>
          <w:sz w:val="32"/>
          <w:szCs w:val="32"/>
          <w:lang w:eastAsia="zh-CN"/>
        </w:rPr>
        <w:t>万元，增长</w:t>
      </w:r>
      <w:r>
        <w:rPr>
          <w:rFonts w:hint="eastAsia" w:ascii="仿宋_GB2312" w:eastAsia="仿宋_GB2312" w:cs="仿宋_GB2312"/>
          <w:kern w:val="0"/>
          <w:sz w:val="32"/>
          <w:szCs w:val="32"/>
          <w:lang w:val="en-US" w:eastAsia="zh-CN"/>
        </w:rPr>
        <w:t>20.77%。</w:t>
      </w:r>
      <w:r>
        <w:rPr>
          <w:rFonts w:hint="eastAsia" w:ascii="仿宋_GB2312" w:eastAsia="仿宋_GB2312" w:cs="仿宋_GB2312"/>
          <w:kern w:val="0"/>
          <w:sz w:val="32"/>
          <w:szCs w:val="32"/>
          <w:lang w:eastAsia="zh-CN"/>
        </w:rPr>
        <w:t>总收入增长的主要原因是</w:t>
      </w:r>
      <w:r>
        <w:rPr>
          <w:rFonts w:hint="eastAsia" w:ascii="仿宋_GB2312" w:eastAsia="仿宋_GB2312" w:cs="仿宋_GB2312"/>
          <w:kern w:val="0"/>
          <w:sz w:val="32"/>
          <w:szCs w:val="32"/>
          <w:lang w:val="en-US" w:eastAsia="zh-CN"/>
        </w:rPr>
        <w:t>2019年</w:t>
      </w:r>
      <w:r>
        <w:rPr>
          <w:rFonts w:hint="eastAsia" w:ascii="仿宋_GB2312" w:eastAsia="仿宋_GB2312" w:cs="仿宋_GB2312"/>
          <w:kern w:val="0"/>
          <w:sz w:val="32"/>
          <w:szCs w:val="32"/>
          <w:lang w:eastAsia="zh-CN"/>
        </w:rPr>
        <w:t>门诊人次和住院人次增加导致的医疗收入增长。</w:t>
      </w:r>
      <w:r>
        <w:rPr>
          <w:rFonts w:hint="eastAsia" w:ascii="仿宋_GB2312" w:eastAsia="仿宋_GB2312" w:cs="仿宋_GB2312"/>
          <w:kern w:val="0"/>
          <w:sz w:val="32"/>
          <w:szCs w:val="32"/>
          <w:lang w:val="en-US" w:eastAsia="zh-CN"/>
        </w:rPr>
        <w:t>2019年医院总支出102667.34万元，2018年医院总支出76173.27万元。</w:t>
      </w:r>
      <w:r>
        <w:rPr>
          <w:rFonts w:hint="eastAsia" w:ascii="仿宋_GB2312" w:eastAsia="仿宋_GB2312" w:cs="仿宋_GB2312"/>
          <w:kern w:val="0"/>
          <w:sz w:val="32"/>
          <w:szCs w:val="32"/>
          <w:lang w:eastAsia="zh-CN"/>
        </w:rPr>
        <w:t>较去年增加</w:t>
      </w:r>
      <w:r>
        <w:rPr>
          <w:rFonts w:hint="eastAsia" w:ascii="仿宋_GB2312" w:eastAsia="仿宋_GB2312" w:cs="仿宋_GB2312"/>
          <w:kern w:val="0"/>
          <w:sz w:val="32"/>
          <w:szCs w:val="32"/>
          <w:lang w:val="en-US" w:eastAsia="zh-CN"/>
        </w:rPr>
        <w:t>26494.07</w:t>
      </w:r>
      <w:r>
        <w:rPr>
          <w:rFonts w:hint="eastAsia" w:ascii="仿宋_GB2312" w:eastAsia="仿宋_GB2312" w:cs="仿宋_GB2312"/>
          <w:kern w:val="0"/>
          <w:sz w:val="32"/>
          <w:szCs w:val="32"/>
          <w:lang w:eastAsia="zh-CN"/>
        </w:rPr>
        <w:t>万元，增长</w:t>
      </w:r>
      <w:r>
        <w:rPr>
          <w:rFonts w:hint="eastAsia" w:ascii="仿宋_GB2312" w:eastAsia="仿宋_GB2312" w:cs="仿宋_GB2312"/>
          <w:kern w:val="0"/>
          <w:sz w:val="32"/>
          <w:szCs w:val="32"/>
          <w:lang w:val="en-US" w:eastAsia="zh-CN"/>
        </w:rPr>
        <w:t>34.78%。</w:t>
      </w:r>
      <w:r>
        <w:rPr>
          <w:rFonts w:hint="eastAsia" w:ascii="仿宋_GB2312" w:eastAsia="仿宋_GB2312" w:cs="仿宋_GB2312"/>
          <w:kern w:val="0"/>
          <w:sz w:val="32"/>
          <w:szCs w:val="32"/>
          <w:lang w:eastAsia="zh-CN"/>
        </w:rPr>
        <w:t>总支出增长的主要原因是</w:t>
      </w:r>
      <w:r>
        <w:rPr>
          <w:rFonts w:hint="eastAsia" w:ascii="仿宋_GB2312" w:eastAsia="仿宋_GB2312" w:cs="仿宋_GB2312"/>
          <w:kern w:val="0"/>
          <w:sz w:val="32"/>
          <w:szCs w:val="32"/>
          <w:lang w:val="en-US" w:eastAsia="zh-CN"/>
        </w:rPr>
        <w:t>2019年</w:t>
      </w:r>
      <w:r>
        <w:rPr>
          <w:rFonts w:hint="eastAsia" w:ascii="仿宋_GB2312" w:eastAsia="仿宋_GB2312" w:cs="仿宋_GB2312"/>
          <w:kern w:val="0"/>
          <w:sz w:val="32"/>
          <w:szCs w:val="32"/>
          <w:lang w:eastAsia="zh-CN"/>
        </w:rPr>
        <w:t>门诊人次和住院人次增加导致的医疗支出增长。</w:t>
      </w:r>
    </w:p>
    <w:p>
      <w:pPr>
        <w:spacing w:line="600" w:lineRule="exact"/>
        <w:ind w:firstLine="640" w:firstLineChars="200"/>
        <w:rPr>
          <w:rFonts w:hint="eastAsia" w:ascii="仿宋" w:hAnsi="仿宋" w:eastAsia="仿宋"/>
          <w:b w:val="0"/>
          <w:bCs w:val="0"/>
          <w:color w:val="000000" w:themeColor="text1"/>
          <w:sz w:val="24"/>
          <w:szCs w:val="24"/>
          <w:lang w:val="en-US" w:eastAsia="zh-CN"/>
        </w:rPr>
      </w:pPr>
      <w:r>
        <w:rPr>
          <w:rFonts w:hint="eastAsia" w:ascii="仿宋" w:hAnsi="仿宋" w:eastAsia="仿宋"/>
          <w:color w:val="000000" w:themeColor="text1"/>
          <w:sz w:val="32"/>
          <w:szCs w:val="32"/>
          <w:lang w:val="en-US" w:eastAsia="zh-CN"/>
        </w:rPr>
        <w:t xml:space="preserve">                                    </w:t>
      </w:r>
      <w:r>
        <w:rPr>
          <w:rFonts w:hint="eastAsia" w:ascii="仿宋" w:hAnsi="仿宋" w:eastAsia="仿宋"/>
          <w:color w:val="000000" w:themeColor="text1"/>
          <w:sz w:val="24"/>
          <w:szCs w:val="24"/>
          <w:lang w:val="en-US" w:eastAsia="zh-CN"/>
        </w:rPr>
        <w:t xml:space="preserve"> </w:t>
      </w:r>
      <w:r>
        <w:rPr>
          <w:rFonts w:hint="eastAsia" w:ascii="仿宋" w:hAnsi="仿宋" w:eastAsia="仿宋"/>
          <w:b w:val="0"/>
          <w:bCs w:val="0"/>
          <w:color w:val="000000" w:themeColor="text1"/>
          <w:sz w:val="24"/>
          <w:szCs w:val="24"/>
          <w:lang w:val="en-US" w:eastAsia="zh-CN"/>
        </w:rPr>
        <w:t>单位：万元</w:t>
      </w:r>
    </w:p>
    <w:p>
      <w:pPr>
        <w:spacing w:line="240" w:lineRule="auto"/>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inline distT="0" distB="0" distL="114300" distR="114300">
            <wp:extent cx="4590415" cy="2761615"/>
            <wp:effectExtent l="0" t="0" r="635" b="63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4590415" cy="2761615"/>
                    </a:xfrm>
                    <a:prstGeom prst="rect">
                      <a:avLst/>
                    </a:prstGeom>
                  </pic:spPr>
                </pic:pic>
              </a:graphicData>
            </a:graphic>
          </wp:inline>
        </w:drawing>
      </w:r>
    </w:p>
    <w:p>
      <w:pPr>
        <w:spacing w:line="600" w:lineRule="exact"/>
        <w:jc w:val="left"/>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ind w:firstLine="800" w:firstLineChars="25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2019年本年收入合计</w:t>
      </w:r>
      <w:r>
        <w:rPr>
          <w:rFonts w:hint="eastAsia" w:ascii="仿宋_GB2312" w:eastAsia="仿宋_GB2312" w:cs="仿宋_GB2312"/>
          <w:kern w:val="0"/>
          <w:sz w:val="32"/>
          <w:szCs w:val="32"/>
          <w:lang w:val="en-US" w:eastAsia="zh-CN"/>
        </w:rPr>
        <w:t>100316.76</w:t>
      </w:r>
      <w:r>
        <w:rPr>
          <w:rFonts w:hint="eastAsia" w:ascii="仿宋_GB2312" w:eastAsia="仿宋_GB2312" w:cs="仿宋_GB2312"/>
          <w:kern w:val="0"/>
          <w:sz w:val="32"/>
          <w:szCs w:val="32"/>
          <w:lang w:eastAsia="zh-CN"/>
        </w:rPr>
        <w:t>万元，其中：一般公共预算财政拨款收入3457万元，占</w:t>
      </w:r>
      <w:r>
        <w:rPr>
          <w:rFonts w:hint="eastAsia" w:ascii="仿宋_GB2312" w:eastAsia="仿宋_GB2312" w:cs="仿宋_GB2312"/>
          <w:kern w:val="0"/>
          <w:sz w:val="32"/>
          <w:szCs w:val="32"/>
          <w:lang w:val="en-US" w:eastAsia="zh-CN"/>
        </w:rPr>
        <w:t>3.45</w:t>
      </w:r>
      <w:r>
        <w:rPr>
          <w:rFonts w:hint="eastAsia" w:ascii="仿宋_GB2312" w:eastAsia="仿宋_GB2312" w:cs="仿宋_GB2312"/>
          <w:kern w:val="0"/>
          <w:sz w:val="32"/>
          <w:szCs w:val="32"/>
          <w:lang w:eastAsia="zh-CN"/>
        </w:rPr>
        <w:t>%；政府性基金预算财政拨款收入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%；上级补助收入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%；事业收入96260.89万元，占</w:t>
      </w:r>
      <w:r>
        <w:rPr>
          <w:rFonts w:hint="eastAsia" w:ascii="仿宋_GB2312" w:eastAsia="仿宋_GB2312" w:cs="仿宋_GB2312"/>
          <w:kern w:val="0"/>
          <w:sz w:val="32"/>
          <w:szCs w:val="32"/>
          <w:lang w:val="en-US" w:eastAsia="zh-CN"/>
        </w:rPr>
        <w:t>95.95</w:t>
      </w:r>
      <w:r>
        <w:rPr>
          <w:rFonts w:hint="eastAsia" w:ascii="仿宋_GB2312" w:eastAsia="仿宋_GB2312" w:cs="仿宋_GB2312"/>
          <w:kern w:val="0"/>
          <w:sz w:val="32"/>
          <w:szCs w:val="32"/>
          <w:lang w:eastAsia="zh-CN"/>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%；附属单位上缴收入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万元，占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lang w:eastAsia="zh-CN"/>
        </w:rPr>
        <w:t>%；其他收入598.87万元，占</w:t>
      </w:r>
      <w:r>
        <w:rPr>
          <w:rFonts w:hint="eastAsia" w:ascii="仿宋_GB2312" w:eastAsia="仿宋_GB2312" w:cs="仿宋_GB2312"/>
          <w:kern w:val="0"/>
          <w:sz w:val="32"/>
          <w:szCs w:val="32"/>
          <w:lang w:val="en-US" w:eastAsia="zh-CN"/>
        </w:rPr>
        <w:t>0.60</w:t>
      </w:r>
      <w:r>
        <w:rPr>
          <w:rFonts w:hint="eastAsia" w:ascii="仿宋_GB2312" w:eastAsia="仿宋_GB2312" w:cs="仿宋_GB2312"/>
          <w:kern w:val="0"/>
          <w:sz w:val="32"/>
          <w:szCs w:val="32"/>
          <w:lang w:eastAsia="zh-CN"/>
        </w:rPr>
        <w:t>%。</w:t>
      </w:r>
    </w:p>
    <w:p>
      <w:pPr>
        <w:spacing w:line="240" w:lineRule="auto"/>
        <w:rPr>
          <w:rFonts w:hint="eastAsia" w:ascii="仿宋_GB2312" w:eastAsia="仿宋_GB2312"/>
          <w:color w:val="FF0000"/>
          <w:sz w:val="32"/>
          <w:szCs w:val="32"/>
          <w:lang w:eastAsia="zh-CN"/>
        </w:rPr>
      </w:pPr>
    </w:p>
    <w:p>
      <w:pPr>
        <w:spacing w:line="240" w:lineRule="auto"/>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drawing>
          <wp:inline distT="0" distB="0" distL="114300" distR="114300">
            <wp:extent cx="5185410" cy="2761615"/>
            <wp:effectExtent l="0" t="0" r="15240" b="635"/>
            <wp:docPr id="5" name="图片 5"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0"/>
                    <pic:cNvPicPr>
                      <a:picLocks noChangeAspect="1"/>
                    </pic:cNvPicPr>
                  </pic:nvPicPr>
                  <pic:blipFill>
                    <a:blip r:embed="rId7"/>
                    <a:stretch>
                      <a:fillRect/>
                    </a:stretch>
                  </pic:blipFill>
                  <pic:spPr>
                    <a:xfrm>
                      <a:off x="0" y="0"/>
                      <a:ext cx="5185410" cy="2761615"/>
                    </a:xfrm>
                    <a:prstGeom prst="rect">
                      <a:avLst/>
                    </a:prstGeom>
                  </pic:spPr>
                </pic:pic>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ind w:firstLine="800" w:firstLineChars="25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2019年本年支出合计</w:t>
      </w:r>
      <w:r>
        <w:rPr>
          <w:rFonts w:hint="eastAsia" w:ascii="仿宋_GB2312" w:eastAsia="仿宋_GB2312" w:cs="仿宋_GB2312"/>
          <w:kern w:val="0"/>
          <w:sz w:val="32"/>
          <w:szCs w:val="32"/>
          <w:lang w:val="en-US" w:eastAsia="zh-CN"/>
        </w:rPr>
        <w:t>102667.34万元，其中：基本支出99606.21万元，占97.02%；项目支出3061.13万元，占2.98%；上缴上级支出0万元，占0%；经营支出0万元，占0%；对附属单位补助支出0万元，占0%。</w:t>
      </w:r>
    </w:p>
    <w:p>
      <w:pPr>
        <w:spacing w:line="240" w:lineRule="auto"/>
        <w:ind w:firstLine="640" w:firstLineChars="200"/>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drawing>
          <wp:inline distT="0" distB="0" distL="114300" distR="114300">
            <wp:extent cx="4590415" cy="2761615"/>
            <wp:effectExtent l="0" t="0" r="635" b="635"/>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8"/>
                    <a:stretch>
                      <a:fillRect/>
                    </a:stretch>
                  </pic:blipFill>
                  <pic:spPr>
                    <a:xfrm>
                      <a:off x="0" y="0"/>
                      <a:ext cx="4590415" cy="2761615"/>
                    </a:xfrm>
                    <a:prstGeom prst="rect">
                      <a:avLst/>
                    </a:prstGeom>
                  </pic:spPr>
                </pic:pic>
              </a:graphicData>
            </a:graphic>
          </wp:inline>
        </w:drawing>
      </w:r>
    </w:p>
    <w:p>
      <w:pPr>
        <w:spacing w:line="240" w:lineRule="auto"/>
        <w:ind w:firstLine="640" w:firstLineChars="200"/>
        <w:rPr>
          <w:rFonts w:hint="eastAsia" w:ascii="仿宋_GB2312" w:eastAsia="仿宋_GB2312"/>
          <w:color w:val="FF0000"/>
          <w:sz w:val="32"/>
          <w:szCs w:val="32"/>
          <w:lang w:eastAsia="zh-CN"/>
        </w:rPr>
      </w:pPr>
    </w:p>
    <w:p>
      <w:pPr>
        <w:numPr>
          <w:ilvl w:val="0"/>
          <w:numId w:val="2"/>
        </w:numPr>
        <w:spacing w:line="600" w:lineRule="exact"/>
        <w:ind w:firstLine="640" w:firstLineChars="200"/>
        <w:outlineLvl w:val="1"/>
        <w:rPr>
          <w:rStyle w:val="26"/>
          <w:rFonts w:hint="eastAsia" w:ascii="黑体" w:hAnsi="黑体" w:eastAsia="黑体"/>
          <w:b w:val="0"/>
        </w:rPr>
      </w:pPr>
      <w:bookmarkStart w:id="30" w:name="_Toc15377208"/>
      <w:bookmarkStart w:id="31" w:name="_Toc15396606"/>
      <w:r>
        <w:rPr>
          <w:rFonts w:hint="eastAsia" w:ascii="黑体" w:hAnsi="黑体" w:eastAsia="黑体"/>
          <w:color w:val="000000"/>
          <w:sz w:val="32"/>
          <w:szCs w:val="32"/>
        </w:rPr>
        <w:t>财</w:t>
      </w:r>
      <w:r>
        <w:rPr>
          <w:rStyle w:val="26"/>
          <w:rFonts w:hint="eastAsia" w:ascii="黑体" w:hAnsi="黑体" w:eastAsia="黑体"/>
          <w:b w:val="0"/>
        </w:rPr>
        <w:t>政拨款收入支出决算总体情况说明</w:t>
      </w:r>
      <w:bookmarkEnd w:id="30"/>
      <w:bookmarkEnd w:id="31"/>
    </w:p>
    <w:p>
      <w:pPr>
        <w:ind w:firstLine="800" w:firstLineChars="25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lang w:val="en-US" w:eastAsia="zh-CN"/>
        </w:rPr>
        <w:t>9年财政拨款收入总计</w:t>
      </w:r>
      <w:r>
        <w:rPr>
          <w:rFonts w:hint="eastAsia" w:ascii="仿宋_GB2312" w:eastAsia="仿宋_GB2312" w:cs="仿宋_GB2312"/>
          <w:kern w:val="0"/>
          <w:sz w:val="32"/>
          <w:szCs w:val="32"/>
          <w:lang w:val="en-US" w:eastAsia="zh-CN"/>
        </w:rPr>
        <w:t>3486万元（含上上年结转的29万元）。与201</w:t>
      </w:r>
      <w:r>
        <w:rPr>
          <w:rFonts w:hint="eastAsia" w:ascii="仿宋_GB2312" w:eastAsia="仿宋_GB2312" w:cs="仿宋_GB2312"/>
          <w:kern w:val="0"/>
          <w:sz w:val="32"/>
          <w:szCs w:val="32"/>
          <w:lang w:val="en-US" w:eastAsia="zh-CN"/>
        </w:rPr>
        <w:t>8年相比，财政拨款收入减少</w:t>
      </w:r>
      <w:r>
        <w:rPr>
          <w:rFonts w:hint="eastAsia" w:ascii="仿宋_GB2312" w:eastAsia="仿宋_GB2312" w:cs="仿宋_GB2312"/>
          <w:kern w:val="0"/>
          <w:sz w:val="32"/>
          <w:szCs w:val="32"/>
          <w:lang w:val="en-US" w:eastAsia="zh-CN"/>
        </w:rPr>
        <w:t>7.14万元，下降</w:t>
      </w:r>
      <w:r>
        <w:rPr>
          <w:rFonts w:hint="eastAsia" w:ascii="仿宋_GB2312" w:eastAsia="仿宋_GB2312" w:cs="仿宋_GB2312"/>
          <w:kern w:val="0"/>
          <w:sz w:val="32"/>
          <w:szCs w:val="32"/>
          <w:lang w:val="en-US" w:eastAsia="zh-CN"/>
        </w:rPr>
        <w:t>0.20%。</w:t>
      </w:r>
    </w:p>
    <w:p>
      <w:pPr>
        <w:ind w:firstLine="800" w:firstLineChars="25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lang w:val="en-US" w:eastAsia="zh-CN"/>
        </w:rPr>
        <w:t>9年财政拨款支出总计</w:t>
      </w:r>
      <w:r>
        <w:rPr>
          <w:rFonts w:hint="eastAsia" w:ascii="仿宋_GB2312" w:eastAsia="仿宋_GB2312" w:cs="仿宋_GB2312"/>
          <w:kern w:val="0"/>
          <w:sz w:val="32"/>
          <w:szCs w:val="32"/>
          <w:lang w:val="en-US" w:eastAsia="zh-CN"/>
        </w:rPr>
        <w:t>3478万元。与201</w:t>
      </w:r>
      <w:r>
        <w:rPr>
          <w:rFonts w:hint="eastAsia" w:ascii="仿宋_GB2312" w:eastAsia="仿宋_GB2312" w:cs="仿宋_GB2312"/>
          <w:kern w:val="0"/>
          <w:sz w:val="32"/>
          <w:szCs w:val="32"/>
          <w:lang w:val="en-US" w:eastAsia="zh-CN"/>
        </w:rPr>
        <w:t>8年相比财政拨款支出总计增加</w:t>
      </w:r>
      <w:r>
        <w:rPr>
          <w:rFonts w:hint="eastAsia" w:ascii="仿宋_GB2312" w:eastAsia="仿宋_GB2312" w:cs="仿宋_GB2312"/>
          <w:kern w:val="0"/>
          <w:sz w:val="32"/>
          <w:szCs w:val="32"/>
          <w:lang w:val="en-US" w:eastAsia="zh-CN"/>
        </w:rPr>
        <w:t>13.86万元，增长</w:t>
      </w:r>
      <w:r>
        <w:rPr>
          <w:rFonts w:hint="eastAsia" w:ascii="仿宋_GB2312" w:eastAsia="仿宋_GB2312" w:cs="仿宋_GB2312"/>
          <w:kern w:val="0"/>
          <w:sz w:val="32"/>
          <w:szCs w:val="32"/>
          <w:lang w:val="en-US" w:eastAsia="zh-CN"/>
        </w:rPr>
        <w:t>0.40%。主要变动原因是</w:t>
      </w:r>
      <w:r>
        <w:rPr>
          <w:rFonts w:hint="eastAsia" w:ascii="仿宋_GB2312" w:eastAsia="仿宋_GB2312" w:cs="仿宋_GB2312"/>
          <w:kern w:val="0"/>
          <w:sz w:val="32"/>
          <w:szCs w:val="32"/>
          <w:lang w:val="en-US" w:eastAsia="zh-CN"/>
        </w:rPr>
        <w:t>2019年年末财政拨款结转</w:t>
      </w:r>
      <w:r>
        <w:rPr>
          <w:rFonts w:hint="eastAsia" w:ascii="仿宋_GB2312" w:eastAsia="仿宋_GB2312" w:cs="仿宋_GB2312"/>
          <w:kern w:val="0"/>
          <w:sz w:val="32"/>
          <w:szCs w:val="32"/>
          <w:lang w:val="en-US" w:eastAsia="zh-CN"/>
        </w:rPr>
        <w:t>29万元。</w:t>
      </w:r>
    </w:p>
    <w:p>
      <w:pPr>
        <w:spacing w:line="240" w:lineRule="auto"/>
        <w:ind w:firstLine="640"/>
        <w:rPr>
          <w:rFonts w:hint="eastAsia" w:ascii="仿宋" w:hAnsi="仿宋" w:eastAsia="仿宋"/>
          <w:b/>
          <w:color w:val="00B050"/>
          <w:sz w:val="32"/>
          <w:szCs w:val="32"/>
          <w:lang w:eastAsia="zh-CN"/>
        </w:rPr>
      </w:pPr>
      <w:r>
        <w:rPr>
          <w:rFonts w:hint="eastAsia" w:ascii="仿宋" w:hAnsi="仿宋" w:eastAsia="仿宋"/>
          <w:b/>
          <w:color w:val="00B050"/>
          <w:sz w:val="32"/>
          <w:szCs w:val="32"/>
          <w:lang w:eastAsia="zh-CN"/>
        </w:rPr>
        <w:drawing>
          <wp:inline distT="0" distB="0" distL="114300" distR="114300">
            <wp:extent cx="4590415" cy="2761615"/>
            <wp:effectExtent l="0" t="0" r="635" b="635"/>
            <wp:docPr id="2" name="图片 2"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7"/>
                    <pic:cNvPicPr>
                      <a:picLocks noChangeAspect="1"/>
                    </pic:cNvPicPr>
                  </pic:nvPicPr>
                  <pic:blipFill>
                    <a:blip r:embed="rId9"/>
                    <a:stretch>
                      <a:fillRect/>
                    </a:stretch>
                  </pic:blipFill>
                  <pic:spPr>
                    <a:xfrm>
                      <a:off x="0" y="0"/>
                      <a:ext cx="4590415" cy="2761615"/>
                    </a:xfrm>
                    <a:prstGeom prst="rect">
                      <a:avLst/>
                    </a:prstGeom>
                  </pic:spPr>
                </pic:pic>
              </a:graphicData>
            </a:graphic>
          </wp:inline>
        </w:drawing>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ind w:firstLine="800" w:firstLineChars="25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2019年一般公共预算财政拨款支出3478万元，占本年支出合计的3.39%。与2018年相比，一般公共预算财政拨款增加13.86万元，增长0.40%。主要变动原因是2019年年末财政拨款结转29万元。</w:t>
      </w:r>
    </w:p>
    <w:p>
      <w:pPr>
        <w:spacing w:line="600" w:lineRule="exact"/>
        <w:ind w:firstLine="640" w:firstLineChars="200"/>
        <w:rPr>
          <w:rFonts w:ascii="仿宋" w:hAnsi="仿宋" w:eastAsia="仿宋"/>
          <w:color w:val="000000"/>
          <w:sz w:val="32"/>
          <w:szCs w:val="32"/>
        </w:rPr>
      </w:pPr>
    </w:p>
    <w:p>
      <w:pPr>
        <w:spacing w:line="240" w:lineRule="auto"/>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drawing>
          <wp:inline distT="0" distB="0" distL="114300" distR="114300">
            <wp:extent cx="4590415" cy="2761615"/>
            <wp:effectExtent l="0" t="0" r="635" b="635"/>
            <wp:docPr id="6" name="图片 6"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5"/>
                    <pic:cNvPicPr>
                      <a:picLocks noChangeAspect="1"/>
                    </pic:cNvPicPr>
                  </pic:nvPicPr>
                  <pic:blipFill>
                    <a:blip r:embed="rId10"/>
                    <a:stretch>
                      <a:fillRect/>
                    </a:stretch>
                  </pic:blipFill>
                  <pic:spPr>
                    <a:xfrm>
                      <a:off x="0" y="0"/>
                      <a:ext cx="4590415" cy="2761615"/>
                    </a:xfrm>
                    <a:prstGeom prst="rect">
                      <a:avLst/>
                    </a:prstGeom>
                  </pic:spPr>
                </pic:pic>
              </a:graphicData>
            </a:graphic>
          </wp:inline>
        </w:drawing>
      </w:r>
    </w:p>
    <w:p>
      <w:pPr>
        <w:spacing w:line="600" w:lineRule="exact"/>
        <w:ind w:firstLine="640"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2019年一般公共预算财政拨款支出3478万元，主要用于以下方面:一般公共服务（类）支出15万元，占0.43%（其中引进人才费用15万元）；教育支出（类）0万元，占0%；科学技术（类）支出0万元，占0%；文化旅游体育与传媒（类）支出0万元，占0%；社会保障和就业（类）支出0万元，占0%；卫生健康支出3463万元，占99.57%（ 其中综合医院2550万元、其他公立医院支出560万元、基本公共卫生服务27.89万元、重大公共卫生专项76.80万元、 其他卫生健康支出248.31万元）；住房保障支出0万元，占0%。</w:t>
      </w:r>
    </w:p>
    <w:p>
      <w:pPr>
        <w:spacing w:line="600" w:lineRule="exact"/>
        <w:ind w:firstLine="640" w:firstLineChars="200"/>
        <w:rPr>
          <w:rFonts w:ascii="仿宋" w:hAnsi="仿宋" w:eastAsia="仿宋"/>
          <w:color w:val="000000"/>
          <w:sz w:val="32"/>
          <w:szCs w:val="32"/>
        </w:rPr>
      </w:pPr>
    </w:p>
    <w:p>
      <w:pPr>
        <w:spacing w:line="240" w:lineRule="auto"/>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590415" cy="2761615"/>
            <wp:effectExtent l="0" t="0" r="635" b="635"/>
            <wp:docPr id="7" name="图片 7"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6"/>
                    <pic:cNvPicPr>
                      <a:picLocks noChangeAspect="1"/>
                    </pic:cNvPicPr>
                  </pic:nvPicPr>
                  <pic:blipFill>
                    <a:blip r:embed="rId11"/>
                    <a:stretch>
                      <a:fillRect/>
                    </a:stretch>
                  </pic:blipFill>
                  <pic:spPr>
                    <a:xfrm>
                      <a:off x="0" y="0"/>
                      <a:ext cx="4590415" cy="2761615"/>
                    </a:xfrm>
                    <a:prstGeom prst="rect">
                      <a:avLst/>
                    </a:prstGeom>
                  </pic:spPr>
                </pic:pic>
              </a:graphicData>
            </a:graphic>
          </wp:inline>
        </w:drawing>
      </w: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numPr>
          <w:ilvl w:val="0"/>
          <w:numId w:val="0"/>
        </w:numPr>
        <w:spacing w:line="600" w:lineRule="exact"/>
        <w:ind w:firstLine="320" w:firstLineChars="1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2019年一般公共预算支出决算数为3478万元，完成预算100%。其中：</w:t>
      </w:r>
    </w:p>
    <w:p>
      <w:pPr>
        <w:numPr>
          <w:ilvl w:val="0"/>
          <w:numId w:val="0"/>
        </w:numPr>
        <w:spacing w:line="600" w:lineRule="exact"/>
        <w:ind w:firstLine="320" w:firstLineChars="100"/>
        <w:rPr>
          <w:rFonts w:hint="eastAsia" w:ascii="仿宋_GB2312" w:eastAsia="仿宋_GB2312" w:cs="仿宋_GB2312"/>
          <w:kern w:val="0"/>
          <w:sz w:val="32"/>
          <w:szCs w:val="32"/>
          <w:lang w:val="en-US" w:eastAsia="zh-CN"/>
        </w:rPr>
      </w:pPr>
      <w:r>
        <w:rPr>
          <w:rStyle w:val="14"/>
          <w:rFonts w:hint="eastAsia" w:ascii="仿宋" w:hAnsi="仿宋" w:eastAsia="仿宋"/>
          <w:bCs/>
          <w:color w:val="000000"/>
          <w:sz w:val="32"/>
          <w:szCs w:val="32"/>
          <w:lang w:val="en-US" w:eastAsia="zh-CN"/>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人力资源事务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引进人才费用</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Fonts w:hint="eastAsia" w:ascii="仿宋_GB2312" w:eastAsia="仿宋_GB2312" w:cs="仿宋_GB2312"/>
          <w:kern w:val="0"/>
          <w:sz w:val="32"/>
          <w:szCs w:val="32"/>
          <w:lang w:val="en-US" w:eastAsia="zh-CN"/>
        </w:rPr>
        <w:t>支出决算为15万元，完成预算100%，引进人才费用15万元系2018年12月追加预算，结转到2019年使用。</w:t>
      </w:r>
    </w:p>
    <w:p>
      <w:pPr>
        <w:numPr>
          <w:ilvl w:val="0"/>
          <w:numId w:val="0"/>
        </w:numPr>
        <w:spacing w:line="600" w:lineRule="exact"/>
        <w:ind w:firstLine="320" w:firstLineChars="100"/>
        <w:rPr>
          <w:rFonts w:hint="eastAsia" w:ascii="仿宋_GB2312" w:eastAsia="仿宋_GB2312" w:cs="仿宋_GB2312"/>
          <w:kern w:val="0"/>
          <w:sz w:val="32"/>
          <w:szCs w:val="32"/>
          <w:lang w:val="en-US" w:eastAsia="zh-CN"/>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Fonts w:hint="eastAsia" w:ascii="仿宋_GB2312" w:eastAsia="仿宋_GB2312" w:cs="仿宋_GB2312"/>
          <w:kern w:val="0"/>
          <w:sz w:val="32"/>
          <w:szCs w:val="32"/>
          <w:lang w:val="en-US" w:eastAsia="zh-CN"/>
        </w:rPr>
        <w:t>支出决算为0元，完成预算100%。</w:t>
      </w:r>
    </w:p>
    <w:p>
      <w:pPr>
        <w:spacing w:line="600" w:lineRule="exact"/>
        <w:ind w:firstLine="640" w:firstLineChars="200"/>
        <w:rPr>
          <w:rFonts w:hint="eastAsia" w:ascii="仿宋_GB2312" w:eastAsia="仿宋_GB2312" w:cs="仿宋_GB2312"/>
          <w:kern w:val="0"/>
          <w:sz w:val="32"/>
          <w:szCs w:val="32"/>
          <w:lang w:val="en-US" w:eastAsia="zh-CN"/>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Fonts w:hint="eastAsia" w:ascii="仿宋_GB2312" w:eastAsia="仿宋_GB2312" w:cs="仿宋_GB2312"/>
          <w:kern w:val="0"/>
          <w:sz w:val="32"/>
          <w:szCs w:val="32"/>
          <w:lang w:val="en-US" w:eastAsia="zh-CN"/>
        </w:rPr>
        <w:t>支出决算为0元，完成预算100%。</w:t>
      </w:r>
    </w:p>
    <w:p>
      <w:pPr>
        <w:spacing w:line="600" w:lineRule="exact"/>
        <w:ind w:firstLine="640" w:firstLineChars="200"/>
        <w:rPr>
          <w:rFonts w:hint="eastAsia" w:ascii="仿宋_GB2312" w:eastAsia="仿宋_GB2312" w:cs="仿宋_GB2312"/>
          <w:kern w:val="0"/>
          <w:sz w:val="32"/>
          <w:szCs w:val="32"/>
          <w:lang w:val="en-US" w:eastAsia="zh-CN"/>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Fonts w:hint="eastAsia" w:ascii="仿宋_GB2312" w:eastAsia="仿宋_GB2312" w:cs="仿宋_GB2312"/>
          <w:kern w:val="0"/>
          <w:sz w:val="32"/>
          <w:szCs w:val="32"/>
          <w:lang w:val="en-US" w:eastAsia="zh-CN"/>
        </w:rPr>
        <w:t>支出决算为0元，完成预算100%。</w:t>
      </w:r>
    </w:p>
    <w:p>
      <w:pPr>
        <w:spacing w:line="600" w:lineRule="exact"/>
        <w:ind w:firstLine="640" w:firstLineChars="200"/>
        <w:rPr>
          <w:rFonts w:hint="eastAsia" w:ascii="仿宋_GB2312" w:eastAsia="仿宋_GB2312" w:cs="仿宋_GB2312"/>
          <w:kern w:val="0"/>
          <w:sz w:val="32"/>
          <w:szCs w:val="32"/>
          <w:lang w:val="en-US" w:eastAsia="zh-CN"/>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Fonts w:hint="eastAsia" w:ascii="仿宋_GB2312" w:eastAsia="仿宋_GB2312" w:cs="仿宋_GB2312"/>
          <w:kern w:val="0"/>
          <w:sz w:val="32"/>
          <w:szCs w:val="32"/>
          <w:lang w:val="en-US" w:eastAsia="zh-CN"/>
        </w:rPr>
        <w:t>支出决算为0元，完成预算100%。</w:t>
      </w:r>
    </w:p>
    <w:p>
      <w:pPr>
        <w:spacing w:line="600" w:lineRule="exact"/>
        <w:ind w:firstLine="640" w:firstLineChars="200"/>
        <w:rPr>
          <w:rFonts w:hint="eastAsia" w:ascii="仿宋_GB2312" w:eastAsia="仿宋_GB2312" w:cs="仿宋_GB2312"/>
          <w:kern w:val="0"/>
          <w:sz w:val="32"/>
          <w:szCs w:val="32"/>
          <w:lang w:val="en-US" w:eastAsia="zh-CN"/>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卫生健康支出（类）</w:t>
      </w:r>
      <w:r>
        <w:rPr>
          <w:rStyle w:val="14"/>
          <w:rFonts w:hint="eastAsia" w:ascii="仿宋" w:hAnsi="仿宋" w:eastAsia="仿宋"/>
          <w:bCs/>
          <w:color w:val="000000"/>
          <w:sz w:val="32"/>
          <w:szCs w:val="32"/>
          <w:lang w:eastAsia="zh-CN"/>
        </w:rPr>
        <w:t>公立医院</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综合医院</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Fonts w:hint="eastAsia" w:ascii="仿宋_GB2312" w:eastAsia="仿宋_GB2312" w:cs="仿宋_GB2312"/>
          <w:kern w:val="0"/>
          <w:sz w:val="32"/>
          <w:szCs w:val="32"/>
          <w:lang w:val="en-US" w:eastAsia="zh-CN"/>
        </w:rPr>
        <w:t>支出决算为2550万元，完成预算100%。</w:t>
      </w:r>
    </w:p>
    <w:p>
      <w:pPr>
        <w:spacing w:line="600" w:lineRule="exact"/>
        <w:ind w:firstLine="640" w:firstLineChars="200"/>
        <w:rPr>
          <w:rFonts w:hint="eastAsia" w:ascii="仿宋_GB2312" w:eastAsia="仿宋_GB2312" w:cs="仿宋_GB2312"/>
          <w:kern w:val="0"/>
          <w:sz w:val="32"/>
          <w:szCs w:val="32"/>
          <w:lang w:val="en-US" w:eastAsia="zh-CN"/>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w:t>
      </w:r>
      <w:r>
        <w:rPr>
          <w:rStyle w:val="14"/>
          <w:rFonts w:hint="eastAsia" w:ascii="仿宋" w:hAnsi="仿宋" w:eastAsia="仿宋"/>
          <w:bCs/>
          <w:color w:val="000000"/>
          <w:sz w:val="32"/>
          <w:szCs w:val="32"/>
          <w:lang w:eastAsia="zh-CN"/>
        </w:rPr>
        <w:t>公立医院</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其他公立医院支出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Fonts w:hint="eastAsia" w:ascii="仿宋_GB2312" w:eastAsia="仿宋_GB2312" w:cs="仿宋_GB2312"/>
          <w:kern w:val="0"/>
          <w:sz w:val="32"/>
          <w:szCs w:val="32"/>
          <w:lang w:val="en-US" w:eastAsia="zh-CN"/>
        </w:rPr>
        <w:t>支出决算为560万元，完成预算100%。</w:t>
      </w:r>
    </w:p>
    <w:p>
      <w:pPr>
        <w:numPr>
          <w:ilvl w:val="0"/>
          <w:numId w:val="0"/>
        </w:numPr>
        <w:spacing w:line="600" w:lineRule="exact"/>
        <w:ind w:firstLine="640" w:firstLineChars="200"/>
        <w:rPr>
          <w:rFonts w:hint="eastAsia" w:ascii="仿宋_GB2312" w:eastAsia="仿宋_GB2312" w:cs="仿宋_GB2312"/>
          <w:kern w:val="0"/>
          <w:sz w:val="32"/>
          <w:szCs w:val="32"/>
          <w:lang w:val="en-US" w:eastAsia="zh-CN"/>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w:t>
      </w:r>
      <w:r>
        <w:rPr>
          <w:rStyle w:val="14"/>
          <w:rFonts w:hint="eastAsia" w:ascii="仿宋" w:hAnsi="仿宋" w:eastAsia="仿宋"/>
          <w:bCs/>
          <w:color w:val="000000"/>
          <w:sz w:val="32"/>
          <w:szCs w:val="32"/>
          <w:lang w:eastAsia="zh-CN"/>
        </w:rPr>
        <w:t>公共卫生</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基本公共卫生服务</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Fonts w:hint="eastAsia" w:ascii="仿宋_GB2312" w:eastAsia="仿宋_GB2312" w:cs="仿宋_GB2312"/>
          <w:kern w:val="0"/>
          <w:sz w:val="32"/>
          <w:szCs w:val="32"/>
          <w:lang w:val="en-US" w:eastAsia="zh-CN"/>
        </w:rPr>
        <w:t>支出决算为27.89万元，完成预算100%。</w:t>
      </w:r>
    </w:p>
    <w:p>
      <w:pPr>
        <w:numPr>
          <w:ilvl w:val="0"/>
          <w:numId w:val="0"/>
        </w:numPr>
        <w:spacing w:line="600" w:lineRule="exact"/>
        <w:ind w:firstLine="640" w:firstLineChars="200"/>
        <w:rPr>
          <w:rFonts w:hint="eastAsia" w:ascii="仿宋_GB2312" w:eastAsia="仿宋_GB2312" w:cs="仿宋_GB2312"/>
          <w:kern w:val="0"/>
          <w:sz w:val="32"/>
          <w:szCs w:val="32"/>
          <w:lang w:val="en-US" w:eastAsia="zh-CN"/>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w:t>
      </w:r>
      <w:r>
        <w:rPr>
          <w:rStyle w:val="14"/>
          <w:rFonts w:hint="eastAsia" w:ascii="仿宋" w:hAnsi="仿宋" w:eastAsia="仿宋"/>
          <w:bCs/>
          <w:color w:val="000000"/>
          <w:sz w:val="32"/>
          <w:szCs w:val="32"/>
          <w:lang w:eastAsia="zh-CN"/>
        </w:rPr>
        <w:t>公共卫生</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重大卫生专项</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Fonts w:hint="eastAsia" w:ascii="仿宋_GB2312" w:eastAsia="仿宋_GB2312" w:cs="仿宋_GB2312"/>
          <w:kern w:val="0"/>
          <w:sz w:val="32"/>
          <w:szCs w:val="32"/>
          <w:lang w:val="en-US" w:eastAsia="zh-CN"/>
        </w:rPr>
        <w:t>支出决算为76.80万元，完成预算100%。</w:t>
      </w:r>
    </w:p>
    <w:p>
      <w:pPr>
        <w:numPr>
          <w:ilvl w:val="0"/>
          <w:numId w:val="0"/>
        </w:numPr>
        <w:spacing w:line="600" w:lineRule="exact"/>
        <w:ind w:firstLine="640" w:firstLineChars="200"/>
        <w:rPr>
          <w:rFonts w:hint="eastAsia" w:ascii="仿宋_GB2312" w:eastAsia="仿宋_GB2312" w:cs="仿宋_GB2312"/>
          <w:kern w:val="0"/>
          <w:sz w:val="32"/>
          <w:szCs w:val="32"/>
          <w:lang w:val="en-US" w:eastAsia="zh-CN"/>
        </w:rPr>
      </w:pPr>
      <w:r>
        <w:rPr>
          <w:rStyle w:val="14"/>
          <w:rFonts w:hint="eastAsia" w:ascii="仿宋" w:hAnsi="仿宋" w:eastAsia="仿宋"/>
          <w:bCs/>
          <w:color w:val="000000"/>
          <w:sz w:val="32"/>
          <w:szCs w:val="32"/>
          <w:lang w:val="en-US" w:eastAsia="zh-CN"/>
        </w:rPr>
        <w:t>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w:t>
      </w:r>
      <w:r>
        <w:rPr>
          <w:rStyle w:val="14"/>
          <w:rFonts w:hint="eastAsia" w:ascii="仿宋" w:hAnsi="仿宋" w:eastAsia="仿宋"/>
          <w:bCs/>
          <w:color w:val="000000"/>
          <w:sz w:val="32"/>
          <w:szCs w:val="32"/>
          <w:lang w:eastAsia="zh-CN"/>
        </w:rPr>
        <w:t>其他卫生健康支出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其他卫生健康支出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Fonts w:hint="eastAsia" w:ascii="仿宋_GB2312" w:eastAsia="仿宋_GB2312" w:cs="仿宋_GB2312"/>
          <w:kern w:val="0"/>
          <w:sz w:val="32"/>
          <w:szCs w:val="32"/>
          <w:lang w:val="en-US" w:eastAsia="zh-CN"/>
        </w:rPr>
        <w:t>支出决算为248.31万元，完成预算100%。</w:t>
      </w:r>
    </w:p>
    <w:p>
      <w:pPr>
        <w:spacing w:line="600" w:lineRule="exact"/>
        <w:rPr>
          <w:rFonts w:ascii="仿宋" w:hAnsi="仿宋" w:eastAsia="仿宋"/>
          <w:b/>
          <w:color w:val="000000"/>
          <w:sz w:val="32"/>
          <w:szCs w:val="32"/>
        </w:rPr>
      </w:pPr>
    </w:p>
    <w:p>
      <w:pPr>
        <w:tabs>
          <w:tab w:val="right" w:pos="8306"/>
        </w:tabs>
        <w:spacing w:line="600" w:lineRule="exact"/>
        <w:ind w:firstLine="640"/>
        <w:outlineLvl w:val="1"/>
        <w:rPr>
          <w:rStyle w:val="26"/>
        </w:rPr>
      </w:pPr>
      <w:bookmarkStart w:id="37" w:name="_Toc15396608"/>
      <w:bookmarkStart w:id="38" w:name="_Toc15377214"/>
      <w:r>
        <w:rPr>
          <w:rStyle w:val="26"/>
          <w:rFonts w:hint="eastAsia" w:ascii="黑体" w:hAnsi="黑体" w:eastAsia="黑体"/>
          <w:b w:val="0"/>
        </w:rPr>
        <w:t>六、一</w:t>
      </w:r>
      <w:r>
        <w:rPr>
          <w:rStyle w:val="26"/>
          <w:rFonts w:hint="eastAsia" w:ascii="黑体" w:hAnsi="黑体" w:eastAsia="黑体"/>
          <w:b w:val="0"/>
        </w:rPr>
        <w:t>般公共预算财政拨款基本支出决算情况说明</w:t>
      </w:r>
      <w:bookmarkEnd w:id="37"/>
      <w:bookmarkEnd w:id="38"/>
      <w:r>
        <w:rPr>
          <w:rStyle w:val="26"/>
          <w:rFonts w:hint="eastAsia" w:ascii="黑体" w:hAnsi="黑体" w:eastAsia="黑体"/>
          <w:b w:val="0"/>
        </w:rPr>
        <w:tab/>
      </w:r>
    </w:p>
    <w:p>
      <w:pPr>
        <w:spacing w:line="600" w:lineRule="exact"/>
        <w:ind w:firstLine="64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2019年一般公共预算财政拨款基本支出500万元，其中：人员经费500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eastAsia="仿宋_GB2312" w:cs="仿宋_GB2312"/>
          <w:kern w:val="0"/>
          <w:sz w:val="32"/>
          <w:szCs w:val="32"/>
          <w:lang w:val="en-US" w:eastAsia="zh-CN"/>
        </w:rPr>
        <w:br w:type="textWrapping"/>
      </w:r>
      <w:r>
        <w:rPr>
          <w:rFonts w:hint="eastAsia" w:ascii="仿宋_GB2312" w:eastAsia="仿宋_GB2312" w:cs="仿宋_GB2312"/>
          <w:kern w:val="0"/>
          <w:sz w:val="32"/>
          <w:szCs w:val="32"/>
          <w:lang w:val="en-US" w:eastAsia="zh-CN"/>
        </w:rPr>
        <w:t>　　日常公用经费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39" w:name="_Toc15396609"/>
      <w:bookmarkStart w:id="40"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2019年“三公”经费财政拨款支出决算为0万元，完成预算100%。</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2019年“三公”经费财政拨款支出决算中，因公出国（境）费支出决算0万元，占100%；公务用车购置及运行维护费支出决算0万元，占100%；公务接待费支出决算0万元，占100%。具体情况如下：</w:t>
      </w:r>
    </w:p>
    <w:p>
      <w:pPr>
        <w:numPr>
          <w:ilvl w:val="0"/>
          <w:numId w:val="3"/>
        </w:numPr>
        <w:spacing w:line="600" w:lineRule="exact"/>
        <w:ind w:firstLine="640"/>
        <w:rPr>
          <w:rFonts w:hint="eastAsia" w:ascii="仿宋_GB2312" w:eastAsia="仿宋_GB2312"/>
          <w:color w:val="000000"/>
          <w:sz w:val="32"/>
          <w:szCs w:val="32"/>
          <w:lang w:eastAsia="zh-CN"/>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持平。</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其中：公务用车购置支出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万元。主要用于公务用车燃料费、维修费、过路过桥费、保险费等支出。</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b/>
          <w:color w:val="000000"/>
          <w:sz w:val="32"/>
          <w:szCs w:val="32"/>
          <w:lang w:val="en-US" w:eastAsia="zh-CN"/>
        </w:rPr>
        <w:t>0</w:t>
      </w:r>
      <w:r>
        <w:rPr>
          <w:rFonts w:hint="eastAsia" w:ascii="仿宋_GB2312" w:eastAsia="仿宋_GB2312"/>
          <w:b/>
          <w:color w:val="000000"/>
          <w:sz w:val="32"/>
          <w:szCs w:val="32"/>
        </w:rPr>
        <w:t>万元，完成预算</w:t>
      </w:r>
      <w:r>
        <w:rPr>
          <w:rFonts w:hint="eastAsia" w:ascii="仿宋_GB2312" w:eastAsia="仿宋_GB2312"/>
          <w:b/>
          <w:color w:val="000000"/>
          <w:sz w:val="32"/>
          <w:szCs w:val="32"/>
          <w:lang w:val="en-US" w:eastAsia="zh-CN"/>
        </w:rPr>
        <w:t>100</w:t>
      </w:r>
      <w:r>
        <w:rPr>
          <w:rFonts w:hint="eastAsia" w:ascii="仿宋_GB2312" w:eastAsia="仿宋_GB2312"/>
          <w:b/>
          <w:color w:val="000000"/>
          <w:sz w:val="32"/>
          <w:szCs w:val="32"/>
        </w:rPr>
        <w:t>%。</w:t>
      </w:r>
      <w:r>
        <w:rPr>
          <w:rFonts w:hint="eastAsia" w:ascii="仿宋_GB2312" w:eastAsia="仿宋_GB2312"/>
          <w:color w:val="000000"/>
          <w:sz w:val="32"/>
          <w:szCs w:val="32"/>
        </w:rPr>
        <w:t>公务接待费支出决算比2018年增加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%。其中：</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国内公务接待支出</w:t>
      </w:r>
      <w:r>
        <w:rPr>
          <w:rFonts w:hint="eastAsia" w:ascii="仿宋_GB2312" w:eastAsia="仿宋_GB2312"/>
          <w:b/>
          <w:color w:val="000000"/>
          <w:sz w:val="32"/>
          <w:szCs w:val="32"/>
          <w:lang w:val="en-US" w:eastAsia="zh-CN"/>
        </w:rPr>
        <w:t>0</w:t>
      </w:r>
      <w:r>
        <w:rPr>
          <w:rFonts w:hint="eastAsia" w:ascii="仿宋_GB2312" w:eastAsia="仿宋_GB2312"/>
          <w:b/>
          <w:color w:val="000000"/>
          <w:sz w:val="32"/>
          <w:szCs w:val="32"/>
        </w:rPr>
        <w:t>万元</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外事接待支出</w:t>
      </w:r>
      <w:r>
        <w:rPr>
          <w:rFonts w:hint="eastAsia" w:ascii="仿宋_GB2312" w:eastAsia="仿宋_GB2312"/>
          <w:b/>
          <w:color w:val="000000"/>
          <w:sz w:val="32"/>
          <w:szCs w:val="32"/>
          <w:lang w:val="en-US" w:eastAsia="zh-CN"/>
        </w:rPr>
        <w:t>0</w:t>
      </w:r>
      <w:r>
        <w:rPr>
          <w:rFonts w:hint="eastAsia" w:ascii="仿宋_GB2312" w:eastAsia="仿宋_GB2312"/>
          <w:b/>
          <w:color w:val="000000"/>
          <w:sz w:val="32"/>
          <w:szCs w:val="32"/>
        </w:rPr>
        <w:t>万元</w:t>
      </w:r>
      <w:r>
        <w:rPr>
          <w:rFonts w:hint="eastAsia" w:ascii="仿宋_GB2312" w:eastAsia="仿宋_GB2312"/>
          <w:color w:val="000000"/>
          <w:sz w:val="32"/>
          <w:szCs w:val="32"/>
        </w:rPr>
        <w:t>，外事接待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bookmarkStart w:id="43" w:name="_Toc15377218"/>
      <w:bookmarkStart w:id="44" w:name="_Toc15396610"/>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3"/>
      <w:bookmarkEnd w:id="4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4"/>
        </w:numPr>
        <w:spacing w:line="600" w:lineRule="exact"/>
        <w:ind w:firstLine="640"/>
        <w:outlineLvl w:val="1"/>
        <w:rPr>
          <w:rStyle w:val="26"/>
          <w:rFonts w:ascii="黑体" w:hAnsi="黑体" w:eastAsia="黑体"/>
          <w:b w:val="0"/>
        </w:rPr>
      </w:pPr>
      <w:bookmarkStart w:id="45" w:name="_Toc15377219"/>
      <w:bookmarkStart w:id="46" w:name="_Toc15396611"/>
      <w:r>
        <w:rPr>
          <w:rStyle w:val="26"/>
          <w:rFonts w:hint="eastAsia" w:ascii="黑体" w:hAnsi="黑体" w:eastAsia="黑体"/>
          <w:b w:val="0"/>
        </w:rPr>
        <w:t>国有资本经营预算支出决算情况说明</w:t>
      </w:r>
      <w:bookmarkEnd w:id="45"/>
      <w:bookmarkEnd w:id="4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47" w:name="_Toc15377221"/>
      <w:bookmarkStart w:id="48"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47"/>
      <w:bookmarkEnd w:id="48"/>
    </w:p>
    <w:p>
      <w:pPr>
        <w:spacing w:line="600" w:lineRule="exact"/>
        <w:ind w:firstLine="640" w:firstLineChars="200"/>
        <w:outlineLvl w:val="2"/>
        <w:rPr>
          <w:rFonts w:ascii="仿宋" w:hAnsi="仿宋" w:eastAsia="仿宋"/>
          <w:color w:val="000000"/>
          <w:sz w:val="32"/>
          <w:szCs w:val="32"/>
        </w:rPr>
      </w:pPr>
      <w:bookmarkStart w:id="49" w:name="_Toc15377222"/>
      <w:r>
        <w:rPr>
          <w:rFonts w:hint="eastAsia" w:ascii="仿宋" w:hAnsi="仿宋" w:eastAsia="仿宋"/>
          <w:b/>
          <w:color w:val="000000"/>
          <w:sz w:val="32"/>
          <w:szCs w:val="32"/>
        </w:rPr>
        <w:t>（一）机关运行经费支出情况</w:t>
      </w:r>
      <w:bookmarkEnd w:id="49"/>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巴中市中心医院</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万元，与</w:t>
      </w:r>
      <w:r>
        <w:rPr>
          <w:rFonts w:ascii="仿宋_GB2312" w:eastAsia="仿宋_GB2312"/>
          <w:color w:val="000000"/>
          <w:sz w:val="32"/>
          <w:szCs w:val="32"/>
        </w:rPr>
        <w:t>201</w:t>
      </w:r>
      <w:r>
        <w:rPr>
          <w:rFonts w:hint="eastAsia" w:ascii="仿宋_GB2312" w:eastAsia="仿宋_GB2312"/>
          <w:color w:val="000000"/>
          <w:sz w:val="32"/>
          <w:szCs w:val="32"/>
        </w:rPr>
        <w:t>8年决算数持平</w:t>
      </w:r>
      <w:r>
        <w:rPr>
          <w:rFonts w:hint="eastAsia" w:ascii="仿宋_GB2312" w:eastAsia="仿宋_GB2312"/>
          <w:color w:val="000000"/>
          <w:sz w:val="32"/>
          <w:szCs w:val="32"/>
          <w:lang w:eastAsia="zh-CN"/>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0" w:name="_Toc15377223"/>
      <w:r>
        <w:rPr>
          <w:rFonts w:hint="eastAsia" w:ascii="仿宋" w:hAnsi="仿宋" w:eastAsia="仿宋"/>
          <w:b/>
          <w:color w:val="000000"/>
          <w:sz w:val="32"/>
          <w:szCs w:val="32"/>
        </w:rPr>
        <w:t>（二）政府采购支出情况</w:t>
      </w:r>
      <w:bookmarkEnd w:id="50"/>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巴中市中心医院</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1" w:name="_Toc15377224"/>
      <w:r>
        <w:rPr>
          <w:rFonts w:hint="eastAsia" w:ascii="仿宋" w:hAnsi="仿宋" w:eastAsia="仿宋"/>
          <w:b/>
          <w:color w:val="000000"/>
          <w:sz w:val="32"/>
          <w:szCs w:val="32"/>
        </w:rPr>
        <w:t>（三）国有资产占有使用情况</w:t>
      </w:r>
      <w:bookmarkEnd w:id="51"/>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巴中市中心医院</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含救护车等；</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23</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台（套）。</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根据</w:t>
      </w:r>
      <w:r>
        <w:rPr>
          <w:rFonts w:hint="eastAsia" w:ascii="仿宋_GB2312" w:eastAsia="仿宋_GB2312"/>
          <w:color w:val="000000"/>
          <w:sz w:val="32"/>
          <w:szCs w:val="32"/>
          <w:lang w:eastAsia="zh-CN"/>
        </w:rPr>
        <w:t>预算绩效管理要求，本部门（单位）在年初预算编制阶段，组织对以色列政府贷款购置医疗设备项目开展了预算事前绩效评估，对</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个项目编制了绩效目标，预算执行过程中，选取</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个项目开展绩效监控，年终执行完毕后，对</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个项目开展了绩效目标完成情况梳理填报。</w:t>
      </w:r>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lang w:eastAsia="zh-CN"/>
        </w:rPr>
        <w:t>本部门按要求对201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lang w:eastAsia="zh-CN"/>
        </w:rPr>
        <w:t>年部门整体支出开展绩效自评，从评价情况来看201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lang w:eastAsia="zh-CN"/>
        </w:rPr>
        <w:t>年全面完成了医院的所有工作职能，完成了卫生突发事件紧急救援、传染病防治、公立医院综合改革、住院医师规范化培训等工作，提升了医疗服务水平。以色列政府贷款购置医疗设备项目，从评价情况来看投入使用的设备都产生了良好的经济效益和社会效益，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lang w:eastAsia="zh-CN"/>
        </w:rPr>
        <w:t>年医院的高新设备投入方便了巴中及周边群众就医，减少外出检查人次。</w:t>
      </w:r>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1.项目绩效目标完成情况。</w:t>
      </w:r>
      <w:r>
        <w:rPr>
          <w:rFonts w:hint="eastAsia" w:ascii="楷体_GB2312" w:hAnsi="楷体_GB2312" w:eastAsia="楷体_GB2312" w:cs="楷体_GB2312"/>
          <w:sz w:val="32"/>
          <w:szCs w:val="32"/>
        </w:rPr>
        <w:br w:type="textWrapping"/>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 xml:space="preserve">  </w:t>
      </w:r>
      <w:r>
        <w:rPr>
          <w:rFonts w:hint="eastAsia" w:ascii="仿宋_GB2312" w:eastAsia="仿宋_GB2312"/>
          <w:color w:val="000000"/>
          <w:sz w:val="32"/>
          <w:szCs w:val="32"/>
          <w:lang w:eastAsia="zh-CN"/>
        </w:rPr>
        <w:t>本部门在201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lang w:eastAsia="zh-CN"/>
        </w:rPr>
        <w:t>年度部门决算中反映“城市公立医院改革””“公立医院运转经费”“以色列政府贷款还本付息”等</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个项目绩效目标实际完成情况。</w:t>
      </w:r>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（1）</w:t>
      </w:r>
      <w:r>
        <w:rPr>
          <w:rFonts w:hint="eastAsia" w:ascii="仿宋_GB2312" w:eastAsia="仿宋_GB2312"/>
          <w:color w:val="000000"/>
          <w:sz w:val="32"/>
          <w:szCs w:val="32"/>
          <w:lang w:eastAsia="zh-CN"/>
        </w:rPr>
        <w:t>城市公立医院改革项目绩效目标完成情况综述。项目全年预算数</w:t>
      </w:r>
      <w:r>
        <w:rPr>
          <w:rFonts w:hint="eastAsia" w:ascii="仿宋_GB2312" w:eastAsia="仿宋_GB2312"/>
          <w:color w:val="000000"/>
          <w:sz w:val="32"/>
          <w:szCs w:val="32"/>
          <w:lang w:val="en-US" w:eastAsia="zh-CN"/>
        </w:rPr>
        <w:t>900</w:t>
      </w:r>
      <w:r>
        <w:rPr>
          <w:rFonts w:hint="eastAsia" w:ascii="仿宋_GB2312" w:eastAsia="仿宋_GB2312"/>
          <w:color w:val="000000"/>
          <w:sz w:val="32"/>
          <w:szCs w:val="32"/>
          <w:lang w:eastAsia="zh-CN"/>
        </w:rPr>
        <w:t>万元（财政拨款</w:t>
      </w:r>
      <w:r>
        <w:rPr>
          <w:rFonts w:hint="eastAsia" w:ascii="仿宋_GB2312" w:eastAsia="仿宋_GB2312"/>
          <w:color w:val="000000"/>
          <w:sz w:val="32"/>
          <w:szCs w:val="32"/>
          <w:lang w:val="en-US" w:eastAsia="zh-CN"/>
        </w:rPr>
        <w:t>500万元，其他资金400万元</w:t>
      </w:r>
      <w:r>
        <w:rPr>
          <w:rFonts w:hint="eastAsia" w:ascii="仿宋_GB2312" w:eastAsia="仿宋_GB2312"/>
          <w:color w:val="000000"/>
          <w:sz w:val="32"/>
          <w:szCs w:val="32"/>
          <w:lang w:eastAsia="zh-CN"/>
        </w:rPr>
        <w:t>），执行数为</w:t>
      </w:r>
      <w:r>
        <w:rPr>
          <w:rFonts w:hint="eastAsia" w:ascii="仿宋_GB2312" w:eastAsia="仿宋_GB2312"/>
          <w:color w:val="000000"/>
          <w:sz w:val="32"/>
          <w:szCs w:val="32"/>
          <w:lang w:val="en-US" w:eastAsia="zh-CN"/>
        </w:rPr>
        <w:t>900</w:t>
      </w:r>
      <w:r>
        <w:rPr>
          <w:rFonts w:hint="eastAsia" w:ascii="仿宋_GB2312" w:eastAsia="仿宋_GB2312"/>
          <w:color w:val="000000"/>
          <w:sz w:val="32"/>
          <w:szCs w:val="32"/>
          <w:lang w:eastAsia="zh-CN"/>
        </w:rPr>
        <w:t>万元，完成预算的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%。完成了2019年城市公立医院改革取消药品加成任务，提升了医疗服务水平，降低患者负担。发现的主要问题：未加大对取消药品加成宣传工作力度。下一步改进措施：加大取消药品加成宣传工作。</w:t>
      </w:r>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（2）</w:t>
      </w:r>
      <w:r>
        <w:rPr>
          <w:rFonts w:hint="eastAsia" w:ascii="仿宋_GB2312" w:eastAsia="仿宋_GB2312"/>
          <w:color w:val="000000"/>
          <w:sz w:val="32"/>
          <w:szCs w:val="32"/>
          <w:lang w:eastAsia="zh-CN"/>
        </w:rPr>
        <w:t>以色列政府贷款购置医疗设备项目绩效目标完成情况综述。项目全年预算数</w:t>
      </w:r>
      <w:r>
        <w:rPr>
          <w:rFonts w:hint="eastAsia" w:ascii="仿宋_GB2312" w:eastAsia="仿宋_GB2312"/>
          <w:color w:val="000000"/>
          <w:sz w:val="32"/>
          <w:szCs w:val="32"/>
          <w:lang w:val="en-US" w:eastAsia="zh-CN"/>
        </w:rPr>
        <w:t>2682.5</w:t>
      </w:r>
      <w:r>
        <w:rPr>
          <w:rFonts w:hint="eastAsia" w:ascii="仿宋_GB2312" w:eastAsia="仿宋_GB2312"/>
          <w:color w:val="000000"/>
          <w:sz w:val="32"/>
          <w:szCs w:val="32"/>
          <w:lang w:eastAsia="zh-CN"/>
        </w:rPr>
        <w:t>万元，执行数为</w:t>
      </w:r>
      <w:r>
        <w:rPr>
          <w:rFonts w:hint="eastAsia" w:ascii="仿宋_GB2312" w:eastAsia="仿宋_GB2312"/>
          <w:color w:val="000000"/>
          <w:sz w:val="32"/>
          <w:szCs w:val="32"/>
          <w:lang w:val="en-US" w:eastAsia="zh-CN"/>
        </w:rPr>
        <w:t>2682.5</w:t>
      </w:r>
      <w:r>
        <w:rPr>
          <w:rFonts w:hint="eastAsia" w:ascii="仿宋_GB2312" w:eastAsia="仿宋_GB2312"/>
          <w:color w:val="000000"/>
          <w:sz w:val="32"/>
          <w:szCs w:val="32"/>
          <w:lang w:eastAsia="zh-CN"/>
        </w:rPr>
        <w:t>万元，完成预算的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%。通过项目实施，保障了巴中及周边患者就近就医，提高了我院的临床诊断和治疗水平。发现的主要问题：部分设备闲置未投入使用。下一步改进措施：随着病人流量的增加，让闲置设备投入使用，发挥效益。</w:t>
      </w:r>
    </w:p>
    <w:p>
      <w:pPr>
        <w:autoSpaceDE w:val="0"/>
        <w:autoSpaceDN w:val="0"/>
        <w:adjustRightInd w:val="0"/>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（3）</w:t>
      </w:r>
      <w:r>
        <w:rPr>
          <w:rFonts w:hint="eastAsia" w:ascii="仿宋_GB2312" w:eastAsia="仿宋_GB2312"/>
          <w:color w:val="000000"/>
          <w:sz w:val="32"/>
          <w:szCs w:val="32"/>
          <w:lang w:eastAsia="zh-CN"/>
        </w:rPr>
        <w:t>公立医院运转经费绩效目标完成情况综述。项目全年预算数</w:t>
      </w:r>
      <w:r>
        <w:rPr>
          <w:rFonts w:hint="eastAsia" w:ascii="仿宋_GB2312" w:eastAsia="仿宋_GB2312"/>
          <w:color w:val="000000"/>
          <w:sz w:val="32"/>
          <w:szCs w:val="32"/>
          <w:lang w:val="en-US" w:eastAsia="zh-CN"/>
        </w:rPr>
        <w:t>1608</w:t>
      </w:r>
      <w:r>
        <w:rPr>
          <w:rFonts w:hint="eastAsia" w:ascii="仿宋_GB2312" w:eastAsia="仿宋_GB2312"/>
          <w:color w:val="000000"/>
          <w:sz w:val="32"/>
          <w:szCs w:val="32"/>
          <w:lang w:eastAsia="zh-CN"/>
        </w:rPr>
        <w:t>万元，执行数为</w:t>
      </w:r>
      <w:r>
        <w:rPr>
          <w:rFonts w:hint="eastAsia" w:ascii="仿宋_GB2312" w:eastAsia="仿宋_GB2312"/>
          <w:color w:val="000000"/>
          <w:sz w:val="32"/>
          <w:szCs w:val="32"/>
          <w:lang w:val="en-US" w:eastAsia="zh-CN"/>
        </w:rPr>
        <w:t>1608</w:t>
      </w:r>
      <w:r>
        <w:rPr>
          <w:rFonts w:hint="eastAsia" w:ascii="仿宋_GB2312" w:eastAsia="仿宋_GB2312"/>
          <w:color w:val="000000"/>
          <w:sz w:val="32"/>
          <w:szCs w:val="32"/>
          <w:lang w:eastAsia="zh-CN"/>
        </w:rPr>
        <w:t>万元，完成预算的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lang w:eastAsia="zh-CN"/>
        </w:rPr>
        <w:t>%。通过项目实施，承担了全市2019年紧急救援任务，降低突发事件的损失；完成了2019年传染病医院预防及治疗工作，有效控制传染病传播范围，减少发病人数；完成了2019年住院医师规范化培训任务。发现的主要问题：部分公共突发事件可以提前预防的，而该部分公共突发事件都是发生后才采取措施。下一步改进措施：进行公共突发事件如食品安全隐患教育等宣传工作。</w:t>
      </w:r>
    </w:p>
    <w:p>
      <w:pPr>
        <w:spacing w:line="580" w:lineRule="exact"/>
        <w:ind w:firstLine="640" w:firstLineChars="200"/>
        <w:rPr>
          <w:rFonts w:ascii="仿宋_GB2312" w:hAnsi="仿宋_GB2312" w:eastAsia="仿宋_GB2312" w:cs="仿宋_GB2312"/>
          <w:sz w:val="32"/>
          <w:szCs w:val="32"/>
        </w:rPr>
      </w:pPr>
    </w:p>
    <w:tbl>
      <w:tblPr>
        <w:tblStyle w:val="16"/>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40"/>
        <w:gridCol w:w="122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城市公立医院改革</w:t>
            </w:r>
          </w:p>
        </w:tc>
      </w:tr>
      <w:tr>
        <w:tblPrEx>
          <w:tblLayout w:type="fixed"/>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巴中市中心医院</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900万元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500万元</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400万元</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完成2019年城市公立医院改革取消药品加成任务，提升医疗服务水平，降低患者负担</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w:t>
            </w:r>
            <w:r>
              <w:rPr>
                <w:rFonts w:hint="eastAsia" w:ascii="宋体" w:hAnsi="宋体" w:cs="宋体"/>
                <w:color w:val="000000"/>
                <w:sz w:val="24"/>
                <w:lang w:eastAsia="zh-CN"/>
              </w:rPr>
              <w:t>了</w:t>
            </w:r>
            <w:r>
              <w:rPr>
                <w:rFonts w:hint="eastAsia" w:ascii="宋体" w:hAnsi="宋体" w:cs="宋体"/>
                <w:color w:val="000000"/>
                <w:sz w:val="24"/>
              </w:rPr>
              <w:t>2019年城市公立医院改革取消药品加成任务，提升</w:t>
            </w:r>
            <w:r>
              <w:rPr>
                <w:rFonts w:hint="eastAsia" w:ascii="宋体" w:hAnsi="宋体" w:cs="宋体"/>
                <w:color w:val="000000"/>
                <w:sz w:val="24"/>
                <w:lang w:eastAsia="zh-CN"/>
              </w:rPr>
              <w:t>了</w:t>
            </w:r>
            <w:r>
              <w:rPr>
                <w:rFonts w:hint="eastAsia" w:ascii="宋体" w:hAnsi="宋体" w:cs="宋体"/>
                <w:color w:val="000000"/>
                <w:sz w:val="24"/>
              </w:rPr>
              <w:t>医疗服务水平，降低</w:t>
            </w:r>
            <w:r>
              <w:rPr>
                <w:rFonts w:hint="eastAsia" w:ascii="宋体" w:hAnsi="宋体" w:cs="宋体"/>
                <w:color w:val="000000"/>
                <w:sz w:val="24"/>
                <w:lang w:eastAsia="zh-CN"/>
              </w:rPr>
              <w:t>了</w:t>
            </w:r>
            <w:r>
              <w:rPr>
                <w:rFonts w:hint="eastAsia" w:ascii="宋体" w:hAnsi="宋体" w:cs="宋体"/>
                <w:color w:val="000000"/>
                <w:sz w:val="24"/>
              </w:rPr>
              <w:t>患者负担</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578"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 xml:space="preserve">数量指标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取消药品加成覆盖率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64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按期完成率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医疗服务水平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有所提升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有所提升</w:t>
            </w:r>
          </w:p>
        </w:tc>
      </w:tr>
      <w:tr>
        <w:tblPrEx>
          <w:tblLayout w:type="fixed"/>
          <w:tblCellMar>
            <w:top w:w="0" w:type="dxa"/>
            <w:left w:w="0" w:type="dxa"/>
            <w:bottom w:w="0" w:type="dxa"/>
            <w:right w:w="0" w:type="dxa"/>
          </w:tblCellMar>
        </w:tblPrEx>
        <w:trPr>
          <w:trHeight w:val="7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 xml:space="preserve">满意度指标 </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病人满意度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3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公立医院运转经费</w:t>
            </w:r>
          </w:p>
        </w:tc>
      </w:tr>
      <w:tr>
        <w:tblPrEx>
          <w:tblLayout w:type="fixed"/>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巴中市中心医院</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1608万元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1608万元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500万元</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1108万元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1108万元</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承担全市2019年紧急救援任务，降低突发事件的损失；完成2019年传染病医院预防及治疗工作，有效控制传染病传播范围，减少发病人数；完成2019年住院医师规范化培训任务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承担</w:t>
            </w:r>
            <w:r>
              <w:rPr>
                <w:rFonts w:hint="eastAsia" w:ascii="宋体" w:hAnsi="宋体" w:cs="宋体"/>
                <w:color w:val="000000"/>
                <w:sz w:val="24"/>
                <w:lang w:eastAsia="zh-CN"/>
              </w:rPr>
              <w:t>了</w:t>
            </w:r>
            <w:r>
              <w:rPr>
                <w:rFonts w:hint="eastAsia" w:ascii="宋体" w:hAnsi="宋体" w:cs="宋体"/>
                <w:color w:val="000000"/>
                <w:sz w:val="24"/>
              </w:rPr>
              <w:t>全市2019年紧急救援任务，降低</w:t>
            </w:r>
            <w:r>
              <w:rPr>
                <w:rFonts w:hint="eastAsia" w:ascii="宋体" w:hAnsi="宋体" w:cs="宋体"/>
                <w:color w:val="000000"/>
                <w:sz w:val="24"/>
                <w:lang w:eastAsia="zh-CN"/>
              </w:rPr>
              <w:t>了</w:t>
            </w:r>
            <w:r>
              <w:rPr>
                <w:rFonts w:hint="eastAsia" w:ascii="宋体" w:hAnsi="宋体" w:cs="宋体"/>
                <w:color w:val="000000"/>
                <w:sz w:val="24"/>
              </w:rPr>
              <w:t>突发事件的损失；完成</w:t>
            </w:r>
            <w:r>
              <w:rPr>
                <w:rFonts w:hint="eastAsia" w:ascii="宋体" w:hAnsi="宋体" w:cs="宋体"/>
                <w:color w:val="000000"/>
                <w:sz w:val="24"/>
                <w:lang w:eastAsia="zh-CN"/>
              </w:rPr>
              <w:t>了</w:t>
            </w:r>
            <w:r>
              <w:rPr>
                <w:rFonts w:hint="eastAsia" w:ascii="宋体" w:hAnsi="宋体" w:cs="宋体"/>
                <w:color w:val="000000"/>
                <w:sz w:val="24"/>
              </w:rPr>
              <w:t>2019年传染病医院预防及治疗工作，有效控制</w:t>
            </w:r>
            <w:r>
              <w:rPr>
                <w:rFonts w:hint="eastAsia" w:ascii="宋体" w:hAnsi="宋体" w:cs="宋体"/>
                <w:color w:val="000000"/>
                <w:sz w:val="24"/>
                <w:lang w:eastAsia="zh-CN"/>
              </w:rPr>
              <w:t>了</w:t>
            </w:r>
            <w:r>
              <w:rPr>
                <w:rFonts w:hint="eastAsia" w:ascii="宋体" w:hAnsi="宋体" w:cs="宋体"/>
                <w:color w:val="000000"/>
                <w:sz w:val="24"/>
              </w:rPr>
              <w:t>传染病传播范围，减少发病人数；完成</w:t>
            </w:r>
            <w:r>
              <w:rPr>
                <w:rFonts w:hint="eastAsia" w:ascii="宋体" w:hAnsi="宋体" w:cs="宋体"/>
                <w:color w:val="000000"/>
                <w:sz w:val="24"/>
                <w:lang w:eastAsia="zh-CN"/>
              </w:rPr>
              <w:t>了</w:t>
            </w:r>
            <w:r>
              <w:rPr>
                <w:rFonts w:hint="eastAsia" w:ascii="宋体" w:hAnsi="宋体" w:cs="宋体"/>
                <w:color w:val="000000"/>
                <w:sz w:val="24"/>
              </w:rPr>
              <w:t>2019年住院医师规范化培训任务</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64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质量指标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突发事件处理及时度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突发事件造成的损失</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有所降低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有所降低</w:t>
            </w:r>
          </w:p>
        </w:tc>
      </w:tr>
      <w:tr>
        <w:tblPrEx>
          <w:tblLayout w:type="fixed"/>
          <w:tblCellMar>
            <w:top w:w="0" w:type="dxa"/>
            <w:left w:w="0" w:type="dxa"/>
            <w:bottom w:w="0" w:type="dxa"/>
            <w:right w:w="0" w:type="dxa"/>
          </w:tblCellMar>
        </w:tblPrEx>
        <w:trPr>
          <w:trHeight w:val="654"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社会效益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医疗服务水平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r>
      <w:tr>
        <w:tblPrEx>
          <w:tblLayout w:type="fixed"/>
          <w:tblCellMar>
            <w:top w:w="0" w:type="dxa"/>
            <w:left w:w="0" w:type="dxa"/>
            <w:bottom w:w="0" w:type="dxa"/>
            <w:right w:w="0" w:type="dxa"/>
          </w:tblCellMar>
        </w:tblPrEx>
        <w:trPr>
          <w:trHeight w:val="7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可持续影响</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培养临床技能优秀，理论水平较高的医学人才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r>
      <w:tr>
        <w:tblPrEx>
          <w:tblLayout w:type="fixed"/>
          <w:tblCellMar>
            <w:top w:w="0" w:type="dxa"/>
            <w:left w:w="0" w:type="dxa"/>
            <w:bottom w:w="0" w:type="dxa"/>
            <w:right w:w="0" w:type="dxa"/>
          </w:tblCellMar>
        </w:tblPrEx>
        <w:trPr>
          <w:trHeight w:val="7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满意度指标 </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13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以色列政府贷款还本付息</w:t>
            </w:r>
          </w:p>
        </w:tc>
      </w:tr>
      <w:tr>
        <w:tblPrEx>
          <w:tblLayout w:type="fixed"/>
          <w:tblCellMar>
            <w:top w:w="0" w:type="dxa"/>
            <w:left w:w="0" w:type="dxa"/>
            <w:bottom w:w="0" w:type="dxa"/>
            <w:right w:w="0" w:type="dxa"/>
          </w:tblCellMar>
        </w:tblPrEx>
        <w:trPr>
          <w:trHeight w:val="276" w:hRule="atLeast"/>
          <w:jc w:val="center"/>
        </w:trPr>
        <w:tc>
          <w:tcPr>
            <w:tcW w:w="27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巴中市中心医院</w:t>
            </w:r>
          </w:p>
        </w:tc>
      </w:tr>
      <w:tr>
        <w:tblPrEx>
          <w:tblLayout w:type="fixed"/>
          <w:tblCellMar>
            <w:top w:w="0" w:type="dxa"/>
            <w:left w:w="0" w:type="dxa"/>
            <w:bottom w:w="0" w:type="dxa"/>
            <w:right w:w="0" w:type="dxa"/>
          </w:tblCellMar>
        </w:tblPrEx>
        <w:trPr>
          <w:trHeight w:val="276" w:hRule="atLeast"/>
          <w:jc w:val="center"/>
        </w:trPr>
        <w:tc>
          <w:tcPr>
            <w:tcW w:w="53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2682.5万元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2682.5万元</w:t>
            </w:r>
          </w:p>
        </w:tc>
      </w:tr>
      <w:tr>
        <w:tblPrEx>
          <w:tblLayout w:type="fixed"/>
          <w:tblCellMar>
            <w:top w:w="0" w:type="dxa"/>
            <w:left w:w="0" w:type="dxa"/>
            <w:bottom w:w="0" w:type="dxa"/>
            <w:right w:w="0" w:type="dxa"/>
          </w:tblCellMar>
        </w:tblPrEx>
        <w:trPr>
          <w:trHeight w:val="276" w:hRule="atLeast"/>
          <w:jc w:val="center"/>
        </w:trPr>
        <w:tc>
          <w:tcPr>
            <w:tcW w:w="5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1000万元</w:t>
            </w:r>
          </w:p>
        </w:tc>
      </w:tr>
      <w:tr>
        <w:tblPrEx>
          <w:tblLayout w:type="fixed"/>
          <w:tblCellMar>
            <w:top w:w="0" w:type="dxa"/>
            <w:left w:w="0" w:type="dxa"/>
            <w:bottom w:w="0" w:type="dxa"/>
            <w:right w:w="0" w:type="dxa"/>
          </w:tblCellMar>
        </w:tblPrEx>
        <w:trPr>
          <w:trHeight w:val="1511" w:hRule="atLeast"/>
          <w:jc w:val="center"/>
        </w:trPr>
        <w:tc>
          <w:tcPr>
            <w:tcW w:w="5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1682.5万元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1682.5万元</w:t>
            </w:r>
          </w:p>
        </w:tc>
      </w:tr>
      <w:tr>
        <w:tblPrEx>
          <w:tblLayout w:type="fixed"/>
          <w:tblCellMar>
            <w:top w:w="0" w:type="dxa"/>
            <w:left w:w="0" w:type="dxa"/>
            <w:bottom w:w="0" w:type="dxa"/>
            <w:right w:w="0" w:type="dxa"/>
          </w:tblCellMar>
        </w:tblPrEx>
        <w:trPr>
          <w:trHeight w:val="276" w:hRule="atLeast"/>
          <w:jc w:val="center"/>
        </w:trPr>
        <w:tc>
          <w:tcPr>
            <w:tcW w:w="53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6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53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6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完成2019年以色列贷款本金及利息还款任务，保障巴中及周边患者就近就医，提高我院的临床诊断和治疗水平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bidi="ar"/>
              </w:rPr>
              <w:t>完成了2019年以色列贷款本金及利息还款任务，保障了巴中及周边患者就近就医，提高了我院的临床诊断和治疗水平</w:t>
            </w:r>
          </w:p>
        </w:tc>
      </w:tr>
      <w:tr>
        <w:tblPrEx>
          <w:tblLayout w:type="fixed"/>
          <w:tblCellMar>
            <w:top w:w="0" w:type="dxa"/>
            <w:left w:w="0" w:type="dxa"/>
            <w:bottom w:w="0" w:type="dxa"/>
            <w:right w:w="0" w:type="dxa"/>
          </w:tblCellMar>
        </w:tblPrEx>
        <w:trPr>
          <w:trHeight w:val="1042" w:hRule="atLeast"/>
          <w:jc w:val="center"/>
        </w:trPr>
        <w:tc>
          <w:tcPr>
            <w:tcW w:w="530"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647" w:hRule="atLeast"/>
          <w:jc w:val="center"/>
        </w:trPr>
        <w:tc>
          <w:tcPr>
            <w:tcW w:w="53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产出指标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还款计划按期完成率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r>
      <w:tr>
        <w:tblPrEx>
          <w:tblLayout w:type="fixed"/>
          <w:tblCellMar>
            <w:top w:w="0" w:type="dxa"/>
            <w:left w:w="0" w:type="dxa"/>
            <w:bottom w:w="0" w:type="dxa"/>
            <w:right w:w="0" w:type="dxa"/>
          </w:tblCellMar>
        </w:tblPrEx>
        <w:trPr>
          <w:trHeight w:val="654" w:hRule="atLeast"/>
          <w:jc w:val="center"/>
        </w:trPr>
        <w:tc>
          <w:tcPr>
            <w:tcW w:w="53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社会效益</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医疗服务水平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有所提升</w:t>
            </w:r>
          </w:p>
        </w:tc>
      </w:tr>
      <w:tr>
        <w:tblPrEx>
          <w:tblLayout w:type="fixed"/>
          <w:tblCellMar>
            <w:top w:w="0" w:type="dxa"/>
            <w:left w:w="0" w:type="dxa"/>
            <w:bottom w:w="0" w:type="dxa"/>
            <w:right w:w="0" w:type="dxa"/>
          </w:tblCellMar>
        </w:tblPrEx>
        <w:trPr>
          <w:trHeight w:val="654" w:hRule="atLeast"/>
          <w:jc w:val="center"/>
        </w:trPr>
        <w:tc>
          <w:tcPr>
            <w:tcW w:w="53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满意度指标 </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巴中市中心医院</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5"/>
          <w:rFonts w:ascii="黑体" w:hAnsi="黑体" w:eastAsia="黑体"/>
          <w:b w:val="0"/>
        </w:rPr>
      </w:pPr>
      <w:bookmarkStart w:id="52" w:name="_Toc15396613"/>
      <w:bookmarkStart w:id="53"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w:t>
      </w:r>
      <w:r>
        <w:rPr>
          <w:rFonts w:hint="eastAsia" w:ascii="仿宋_GB2312" w:eastAsia="仿宋_GB2312"/>
          <w:sz w:val="32"/>
          <w:szCs w:val="32"/>
          <w:lang w:eastAsia="zh-CN"/>
        </w:rPr>
        <w:t>医疗收入</w:t>
      </w:r>
      <w:r>
        <w:rPr>
          <w:rFonts w:hint="eastAsia" w:ascii="仿宋_GB2312" w:eastAsia="仿宋_GB2312"/>
          <w:sz w:val="32"/>
          <w:szCs w:val="32"/>
        </w:rPr>
        <w:t>等。</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救护车收入、租金收入</w:t>
      </w:r>
      <w:r>
        <w:rPr>
          <w:rFonts w:hint="eastAsia" w:ascii="仿宋_GB2312" w:eastAsia="仿宋_GB2312"/>
          <w:sz w:val="32"/>
          <w:szCs w:val="32"/>
        </w:rPr>
        <w:t>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w:t>
      </w:r>
      <w:r>
        <w:rPr>
          <w:rFonts w:hint="eastAsia" w:ascii="仿宋_GB2312" w:eastAsia="仿宋_GB2312"/>
          <w:sz w:val="32"/>
          <w:szCs w:val="32"/>
        </w:rPr>
        <w:t>.医疗卫生与计划生育（类）</w:t>
      </w:r>
      <w:r>
        <w:rPr>
          <w:rFonts w:hint="eastAsia" w:ascii="仿宋_GB2312" w:eastAsia="仿宋_GB2312"/>
          <w:sz w:val="32"/>
          <w:szCs w:val="32"/>
          <w:lang w:eastAsia="zh-CN"/>
        </w:rPr>
        <w:t>公立医院</w:t>
      </w:r>
      <w:r>
        <w:rPr>
          <w:rFonts w:hint="eastAsia" w:ascii="仿宋_GB2312" w:eastAsia="仿宋_GB2312"/>
          <w:sz w:val="32"/>
          <w:szCs w:val="32"/>
        </w:rPr>
        <w:t>（款）</w:t>
      </w:r>
      <w:r>
        <w:rPr>
          <w:rFonts w:hint="eastAsia" w:ascii="仿宋_GB2312" w:eastAsia="仿宋_GB2312"/>
          <w:sz w:val="32"/>
          <w:szCs w:val="32"/>
          <w:lang w:eastAsia="zh-CN"/>
        </w:rPr>
        <w:t>综合医院</w:t>
      </w:r>
      <w:r>
        <w:rPr>
          <w:rFonts w:hint="eastAsia" w:ascii="仿宋_GB2312" w:eastAsia="仿宋_GB2312"/>
          <w:sz w:val="32"/>
          <w:szCs w:val="32"/>
        </w:rPr>
        <w:t>（项）:</w:t>
      </w:r>
      <w:r>
        <w:rPr>
          <w:rFonts w:hint="eastAsia" w:ascii="仿宋_GB2312" w:eastAsia="仿宋_GB2312"/>
          <w:color w:val="000000"/>
          <w:sz w:val="32"/>
          <w:szCs w:val="32"/>
        </w:rPr>
        <w:t>指为保障</w:t>
      </w:r>
      <w:r>
        <w:rPr>
          <w:rFonts w:hint="eastAsia" w:ascii="仿宋_GB2312" w:eastAsia="仿宋_GB2312"/>
          <w:color w:val="000000"/>
          <w:sz w:val="32"/>
          <w:szCs w:val="32"/>
          <w:lang w:eastAsia="zh-CN"/>
        </w:rPr>
        <w:t>医院</w:t>
      </w:r>
      <w:r>
        <w:rPr>
          <w:rFonts w:hint="eastAsia" w:ascii="仿宋_GB2312" w:eastAsia="仿宋_GB2312"/>
          <w:color w:val="000000"/>
          <w:sz w:val="32"/>
          <w:szCs w:val="32"/>
        </w:rPr>
        <w:t>正常运转、完成日常工作任务而发生的</w:t>
      </w:r>
      <w:r>
        <w:rPr>
          <w:rFonts w:hint="eastAsia" w:ascii="仿宋_GB2312" w:eastAsia="仿宋_GB2312"/>
          <w:color w:val="000000"/>
          <w:sz w:val="32"/>
          <w:szCs w:val="32"/>
          <w:lang w:eastAsia="zh-CN"/>
        </w:rPr>
        <w:t>。如：工资福利支出、商品和服务支出等。</w:t>
      </w:r>
    </w:p>
    <w:p>
      <w:pPr>
        <w:pStyle w:val="23"/>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.医疗卫生与计划生育（类）</w:t>
      </w:r>
      <w:r>
        <w:rPr>
          <w:rFonts w:hint="eastAsia" w:ascii="仿宋_GB2312" w:eastAsia="仿宋_GB2312"/>
          <w:sz w:val="32"/>
          <w:szCs w:val="32"/>
          <w:lang w:eastAsia="zh-CN"/>
        </w:rPr>
        <w:t>公共卫生</w:t>
      </w:r>
      <w:r>
        <w:rPr>
          <w:rFonts w:hint="eastAsia" w:ascii="仿宋_GB2312" w:eastAsia="仿宋_GB2312"/>
          <w:sz w:val="32"/>
          <w:szCs w:val="32"/>
        </w:rPr>
        <w:t>（款）</w:t>
      </w:r>
      <w:r>
        <w:rPr>
          <w:rFonts w:hint="eastAsia" w:ascii="仿宋_GB2312" w:eastAsia="仿宋_GB2312"/>
          <w:sz w:val="32"/>
          <w:szCs w:val="32"/>
          <w:lang w:eastAsia="zh-CN"/>
        </w:rPr>
        <w:t>基本公共卫生服务</w:t>
      </w:r>
      <w:r>
        <w:rPr>
          <w:rFonts w:hint="eastAsia" w:ascii="仿宋_GB2312" w:eastAsia="仿宋_GB2312"/>
          <w:sz w:val="32"/>
          <w:szCs w:val="32"/>
        </w:rPr>
        <w:t>（项）:</w:t>
      </w:r>
      <w:r>
        <w:rPr>
          <w:rFonts w:hint="eastAsia" w:ascii="仿宋_GB2312" w:eastAsia="仿宋_GB2312"/>
          <w:sz w:val="32"/>
          <w:szCs w:val="32"/>
          <w:lang w:eastAsia="zh-CN"/>
        </w:rPr>
        <w:t>指公立医院基本公共卫生服务的运行。如疾病预防控制等。</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w:t>
      </w:r>
      <w:r>
        <w:rPr>
          <w:rFonts w:hint="eastAsia" w:ascii="仿宋_GB2312" w:eastAsia="仿宋_GB2312"/>
          <w:sz w:val="32"/>
          <w:szCs w:val="32"/>
        </w:rPr>
        <w:t>.医疗卫生与计划生育（类）</w:t>
      </w:r>
      <w:r>
        <w:rPr>
          <w:rFonts w:hint="eastAsia" w:ascii="仿宋_GB2312" w:eastAsia="仿宋_GB2312"/>
          <w:sz w:val="32"/>
          <w:szCs w:val="32"/>
          <w:lang w:eastAsia="zh-CN"/>
        </w:rPr>
        <w:t>公共卫生</w:t>
      </w:r>
      <w:r>
        <w:rPr>
          <w:rFonts w:hint="eastAsia" w:ascii="仿宋_GB2312" w:eastAsia="仿宋_GB2312"/>
          <w:sz w:val="32"/>
          <w:szCs w:val="32"/>
        </w:rPr>
        <w:t>（款）</w:t>
      </w:r>
      <w:r>
        <w:rPr>
          <w:rFonts w:hint="eastAsia" w:ascii="仿宋_GB2312" w:eastAsia="仿宋_GB2312"/>
          <w:sz w:val="32"/>
          <w:szCs w:val="32"/>
          <w:lang w:eastAsia="zh-CN"/>
        </w:rPr>
        <w:t>重大卫生专项</w:t>
      </w:r>
      <w:r>
        <w:rPr>
          <w:rFonts w:hint="eastAsia" w:ascii="仿宋_GB2312" w:eastAsia="仿宋_GB2312"/>
          <w:sz w:val="32"/>
          <w:szCs w:val="32"/>
        </w:rPr>
        <w:t>（项）:</w:t>
      </w:r>
      <w:r>
        <w:rPr>
          <w:rFonts w:hint="eastAsia" w:ascii="仿宋_GB2312" w:eastAsia="仿宋_GB2312"/>
          <w:sz w:val="32"/>
          <w:szCs w:val="32"/>
          <w:lang w:val="en-US" w:eastAsia="zh-CN"/>
        </w:rPr>
        <w:t>指反映重大疾病预防控制等重大公共卫生服务项目。如艾滋病防控、食品安全保障等。</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.医疗卫生与计划生育（类）</w:t>
      </w:r>
      <w:r>
        <w:rPr>
          <w:rFonts w:hint="eastAsia" w:ascii="仿宋_GB2312" w:eastAsia="仿宋_GB2312"/>
          <w:sz w:val="32"/>
          <w:szCs w:val="32"/>
          <w:lang w:eastAsia="zh-CN"/>
        </w:rPr>
        <w:t>其他医疗卫生与计划生育支出</w:t>
      </w:r>
      <w:r>
        <w:rPr>
          <w:rFonts w:hint="eastAsia" w:ascii="仿宋_GB2312" w:eastAsia="仿宋_GB2312"/>
          <w:sz w:val="32"/>
          <w:szCs w:val="32"/>
        </w:rPr>
        <w:t>（款）</w:t>
      </w:r>
      <w:r>
        <w:rPr>
          <w:rFonts w:hint="eastAsia" w:ascii="仿宋_GB2312" w:eastAsia="仿宋_GB2312"/>
          <w:sz w:val="32"/>
          <w:szCs w:val="32"/>
          <w:lang w:eastAsia="zh-CN"/>
        </w:rPr>
        <w:t>其他医疗卫生与计划生育支出</w:t>
      </w:r>
      <w:r>
        <w:rPr>
          <w:rFonts w:hint="eastAsia" w:ascii="仿宋_GB2312" w:eastAsia="仿宋_GB2312"/>
          <w:sz w:val="32"/>
          <w:szCs w:val="32"/>
        </w:rPr>
        <w:t>（项）:</w:t>
      </w:r>
      <w:r>
        <w:rPr>
          <w:rFonts w:hint="eastAsia" w:ascii="仿宋_GB2312" w:eastAsia="仿宋_GB2312"/>
          <w:sz w:val="32"/>
          <w:szCs w:val="32"/>
          <w:lang w:eastAsia="zh-CN"/>
        </w:rPr>
        <w:t>反映其他用于公共卫生方面支出。如住院医师规范化培训等。</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adjustRightInd w:val="0"/>
        <w:snapToGrid w:val="0"/>
        <w:spacing w:line="580" w:lineRule="exact"/>
        <w:ind w:firstLine="640" w:firstLineChars="200"/>
        <w:contextualSpacing/>
        <w:jc w:val="left"/>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ind w:firstLine="640" w:firstLineChars="200"/>
        <w:rPr>
          <w:rFonts w:hint="eastAsia" w:ascii="仿宋_GB2312" w:eastAsia="仿宋_GB2312"/>
          <w:sz w:val="32"/>
          <w:szCs w:val="32"/>
        </w:rPr>
      </w:pPr>
    </w:p>
    <w:p>
      <w:pPr>
        <w:pStyle w:val="23"/>
        <w:spacing w:line="560" w:lineRule="exact"/>
        <w:rPr>
          <w:rFonts w:hint="eastAsia" w:ascii="仿宋_GB2312" w:eastAsia="仿宋_GB2312"/>
          <w:sz w:val="32"/>
          <w:szCs w:val="32"/>
        </w:rPr>
      </w:pPr>
    </w:p>
    <w:p>
      <w:pPr>
        <w:pStyle w:val="23"/>
        <w:spacing w:line="560" w:lineRule="exact"/>
        <w:ind w:firstLine="640" w:firstLineChars="200"/>
        <w:rPr>
          <w:rFonts w:ascii="仿宋_GB2312" w:eastAsia="仿宋_GB2312" w:cs="黑体"/>
          <w:sz w:val="32"/>
          <w:szCs w:val="32"/>
        </w:rPr>
      </w:pPr>
    </w:p>
    <w:p>
      <w:pPr>
        <w:spacing w:line="600" w:lineRule="exact"/>
        <w:jc w:val="center"/>
        <w:outlineLvl w:val="0"/>
        <w:rPr>
          <w:rStyle w:val="25"/>
          <w:rFonts w:ascii="黑体" w:hAnsi="黑体" w:eastAsia="黑体"/>
          <w:b w:val="0"/>
        </w:rPr>
      </w:pPr>
      <w:bookmarkStart w:id="54" w:name="_Toc15396614"/>
      <w:bookmarkStart w:id="55" w:name="_Toc15377226"/>
      <w:r>
        <w:rPr>
          <w:rFonts w:hint="eastAsia" w:ascii="黑体" w:hAnsi="黑体" w:eastAsia="黑体"/>
          <w:color w:val="000000"/>
          <w:sz w:val="44"/>
          <w:szCs w:val="44"/>
        </w:rPr>
        <w:t>第</w:t>
      </w:r>
      <w:r>
        <w:rPr>
          <w:rStyle w:val="25"/>
          <w:rFonts w:hint="eastAsia" w:ascii="黑体" w:hAnsi="黑体" w:eastAsia="黑体"/>
          <w:b w:val="0"/>
        </w:rPr>
        <w:t>四部分 附件</w:t>
      </w:r>
      <w:bookmarkEnd w:id="54"/>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巴中市中心医院</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pStyle w:val="23"/>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（一）机构组成。</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巴中市中心医院是巴中市财政局社保科对口管理的一级预算拨款定额定项补助单位，无下属二级单位。</w:t>
      </w:r>
    </w:p>
    <w:p>
      <w:pPr>
        <w:pStyle w:val="23"/>
        <w:spacing w:line="56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lang w:val="zh-CN" w:eastAsia="zh-CN"/>
        </w:rPr>
        <w:t>（二</w:t>
      </w:r>
      <w:r>
        <w:rPr>
          <w:rFonts w:hint="eastAsia" w:ascii="仿宋_GB2312" w:eastAsia="仿宋_GB2312"/>
          <w:sz w:val="32"/>
          <w:szCs w:val="32"/>
          <w:lang w:val="en-US" w:eastAsia="zh-CN"/>
        </w:rPr>
        <w:t>)</w:t>
      </w:r>
      <w:r>
        <w:rPr>
          <w:rFonts w:hint="eastAsia" w:ascii="仿宋_GB2312" w:eastAsia="仿宋_GB2312"/>
          <w:sz w:val="32"/>
          <w:szCs w:val="32"/>
          <w:lang w:val="zh-CN" w:eastAsia="zh-CN"/>
        </w:rPr>
        <w:t>机构职能。</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巴中市中心医院是集医疗、教学、科研、预防、保健为一体的全市唯一一家三级甲等综合医院。按政府安排承办巴中市中心医院传染病分院、紧急救援中心公共卫生项目。医疗服务对象为巴中市及周边地区人群，还承担全市的突发公共卫生事件的医疗救助工作。</w:t>
      </w:r>
    </w:p>
    <w:p>
      <w:pPr>
        <w:pStyle w:val="23"/>
        <w:spacing w:line="56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lang w:val="zh-CN" w:eastAsia="zh-CN"/>
        </w:rPr>
        <w:t>（三）人员概况。</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全院获全国“五.一”劳动奖章2人，享受国务院特殊津贴1人，全国卫生计生系统先进工作者1人，四川省有突出贡献的优秀专家5人，省优秀科技工作者2人，四川省卫生厅有突出贡献中青年专家1人，省卫生厅学术技术带头人后备人选1人，省学术技术带头后备人选3人。</w:t>
      </w:r>
    </w:p>
    <w:p>
      <w:pPr>
        <w:pStyle w:val="23"/>
        <w:spacing w:line="560" w:lineRule="exact"/>
        <w:ind w:firstLine="640" w:firstLineChars="200"/>
        <w:rPr>
          <w:rFonts w:hint="eastAsia" w:ascii="仿宋_GB2312" w:eastAsia="仿宋_GB2312"/>
          <w:sz w:val="32"/>
          <w:szCs w:val="32"/>
          <w:lang w:val="zh-CN" w:eastAsia="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pStyle w:val="23"/>
        <w:spacing w:line="56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lang w:val="zh-CN" w:eastAsia="zh-CN"/>
        </w:rPr>
        <w:t>（一）部门财政资金收入情况。</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2019年巴中市中心医院财政补助资金共3457万元，包含上年结转29万元，共计收到3486万元。</w:t>
      </w:r>
    </w:p>
    <w:p>
      <w:pPr>
        <w:pStyle w:val="23"/>
        <w:spacing w:line="560" w:lineRule="exact"/>
        <w:ind w:firstLine="640" w:firstLineChars="200"/>
        <w:rPr>
          <w:rFonts w:hint="eastAsia" w:ascii="仿宋_GB2312" w:eastAsia="仿宋_GB2312"/>
          <w:sz w:val="32"/>
          <w:szCs w:val="32"/>
          <w:lang w:val="zh-CN" w:eastAsia="zh-CN"/>
        </w:rPr>
      </w:pPr>
      <w:r>
        <w:rPr>
          <w:rFonts w:hint="eastAsia" w:ascii="仿宋_GB2312" w:eastAsia="仿宋_GB2312"/>
          <w:sz w:val="32"/>
          <w:szCs w:val="32"/>
          <w:lang w:val="zh-CN" w:eastAsia="zh-CN"/>
        </w:rPr>
        <w:t>（二）部门财政资金支出情况。</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2019年财政资金支出决算数为3478万元，其中引进人才费用支出15万元、综合医院支出2550万元、其他公立医院支出560万元、基本公共卫生服务支出27.89万元、重大卫生专项支出76.80万元、其他医疗卫生与计划生育支出支出为248.31万元。</w:t>
      </w:r>
    </w:p>
    <w:p>
      <w:pPr>
        <w:widowControl/>
        <w:numPr>
          <w:ilvl w:val="0"/>
          <w:numId w:val="0"/>
        </w:numPr>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（一）部门预算管理。</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部门绩效目标制定是绩效管理过程的首要环节，是整个绩效管理的基础。部门绩效的目标设定必须符合国家法律法规总体规划、符合部门“三定”方案确定的职责，符合部门制定的中长期实施规划。并在年终部门预算执行完毕后，对部门绩效目标开展完成情况进行梳理，了解部门绩效目标完成程度。预算编制要准确，在部门预算执行过程中对各项支出进行绩效监控，并对预算进行动态调整。</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（二）结果应用情况。</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对部门整体支出的预算绩效进行自评，对预算执行存在的偏差进行分析，更加科学合理的编制预算并严格执行预算。</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（一）评价结论。</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对照2019年市级部门整体支出绩效评价指标自评，自评结果为优秀。</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（二）存在问题。</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1、预算管理及内控管理是医院现阶段的薄弱环节，各部门支出随意性较大。大部分临床科室对此不重视。</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2、医院专用设备、广播电影设备、电气设备、计算机设备、办公设备已达到规定折旧年限的数量已超过一半，有更新的需求。</w:t>
      </w:r>
    </w:p>
    <w:p>
      <w:pPr>
        <w:pStyle w:val="23"/>
        <w:spacing w:line="560" w:lineRule="exact"/>
        <w:ind w:firstLine="640" w:firstLineChars="200"/>
        <w:rPr>
          <w:rFonts w:ascii="仿宋" w:hAnsi="仿宋" w:eastAsia="仿宋" w:cs="仿宋_GB2312"/>
          <w:sz w:val="32"/>
          <w:szCs w:val="32"/>
        </w:rPr>
      </w:pPr>
      <w:r>
        <w:rPr>
          <w:rFonts w:hint="eastAsia" w:ascii="仿宋_GB2312" w:eastAsia="仿宋_GB2312"/>
          <w:sz w:val="32"/>
          <w:szCs w:val="32"/>
          <w:lang w:val="zh-CN" w:eastAsia="zh-CN"/>
        </w:rPr>
        <w:t>（三）改进建议。</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1、加强预算管理及内控管理，这不单需要院领导支持、各科室配合才能搞好这一工作，也需要购买现代化的信息化软件来实现。</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2、应加强对固定资产管理，特别是新购入的专用设备的管理，提高固定资产的利用效率。</w:t>
      </w:r>
    </w:p>
    <w:p>
      <w:pPr>
        <w:spacing w:line="600" w:lineRule="exact"/>
        <w:jc w:val="both"/>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56"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5"/>
      <w:bookmarkEnd w:id="56"/>
    </w:p>
    <w:p>
      <w:pPr>
        <w:spacing w:line="600" w:lineRule="exact"/>
        <w:jc w:val="center"/>
        <w:outlineLvl w:val="0"/>
        <w:rPr>
          <w:rFonts w:ascii="仿宋" w:hAnsi="仿宋" w:eastAsia="仿宋"/>
          <w:b/>
          <w:color w:val="000000"/>
          <w:sz w:val="44"/>
          <w:szCs w:val="44"/>
        </w:rPr>
      </w:pPr>
      <w:bookmarkStart w:id="70" w:name="_GoBack"/>
      <w:bookmarkEnd w:id="70"/>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58"/>
    </w:p>
    <w:p>
      <w:pPr>
        <w:pStyle w:val="3"/>
        <w:rPr>
          <w:rFonts w:ascii="仿宋" w:hAnsi="仿宋" w:eastAsia="仿宋"/>
          <w:color w:val="000000"/>
        </w:rPr>
      </w:pPr>
      <w:bookmarkStart w:id="59"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59"/>
    </w:p>
    <w:p>
      <w:pPr>
        <w:pStyle w:val="3"/>
        <w:rPr>
          <w:rFonts w:ascii="仿宋" w:hAnsi="仿宋" w:eastAsia="仿宋"/>
          <w:b w:val="0"/>
          <w:color w:val="000000"/>
        </w:rPr>
      </w:pPr>
      <w:bookmarkStart w:id="60"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0"/>
    </w:p>
    <w:p>
      <w:pPr>
        <w:pStyle w:val="3"/>
        <w:rPr>
          <w:rStyle w:val="26"/>
          <w:rFonts w:ascii="仿宋" w:hAnsi="仿宋" w:eastAsia="仿宋"/>
          <w:b w:val="0"/>
          <w:bCs w:val="0"/>
        </w:rPr>
      </w:pPr>
      <w:bookmarkStart w:id="61"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1"/>
      <w:bookmarkStart w:id="62"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8"/>
    </w:p>
    <w:p>
      <w:pPr>
        <w:pStyle w:val="3"/>
        <w:rPr>
          <w:rFonts w:ascii="仿宋" w:hAnsi="仿宋" w:eastAsia="仿宋"/>
          <w:color w:val="000000" w:themeColor="text1"/>
        </w:rPr>
      </w:pPr>
      <w:bookmarkStart w:id="69"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00007A87" w:usb1="80000000" w:usb2="00000008" w:usb3="00000000" w:csb0="400001FF" w:csb1="FFFF0000"/>
  </w:font>
  <w:font w:name="仿宋">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altName w:val="Arial Unicode MS"/>
    <w:panose1 w:val="03000509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MS Sans Serif">
    <w:altName w:val="Lath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F72A0CF"/>
    <w:multiLevelType w:val="singleLevel"/>
    <w:tmpl w:val="5F72A0CF"/>
    <w:lvl w:ilvl="0" w:tentative="0">
      <w:start w:val="4"/>
      <w:numFmt w:val="chineseCounting"/>
      <w:suff w:val="nothing"/>
      <w:lvlText w:val="%1、"/>
      <w:lvlJc w:val="left"/>
    </w:lvl>
  </w:abstractNum>
  <w:abstractNum w:abstractNumId="4">
    <w:nsid w:val="5F72BB72"/>
    <w:multiLevelType w:val="singleLevel"/>
    <w:tmpl w:val="5F72BB72"/>
    <w:lvl w:ilvl="0" w:tentative="0">
      <w:start w:val="1"/>
      <w:numFmt w:val="decimal"/>
      <w:lvlText w:val="%1."/>
      <w:lvlJc w:val="left"/>
      <w:pPr>
        <w:tabs>
          <w:tab w:val="left" w:pos="312"/>
        </w:tabs>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B9518C"/>
    <w:rsid w:val="056F1AF6"/>
    <w:rsid w:val="07833173"/>
    <w:rsid w:val="0A3F7927"/>
    <w:rsid w:val="0B6D081E"/>
    <w:rsid w:val="0D437758"/>
    <w:rsid w:val="0D447BF7"/>
    <w:rsid w:val="0DC42D22"/>
    <w:rsid w:val="0E491836"/>
    <w:rsid w:val="0FAD6491"/>
    <w:rsid w:val="10C055FF"/>
    <w:rsid w:val="11EB14D7"/>
    <w:rsid w:val="13BC55FE"/>
    <w:rsid w:val="13D0347A"/>
    <w:rsid w:val="14646AC4"/>
    <w:rsid w:val="16BB723D"/>
    <w:rsid w:val="18C103B8"/>
    <w:rsid w:val="18D52FE6"/>
    <w:rsid w:val="213D1067"/>
    <w:rsid w:val="21514F7C"/>
    <w:rsid w:val="222253DF"/>
    <w:rsid w:val="240371BF"/>
    <w:rsid w:val="27566033"/>
    <w:rsid w:val="27D67F9F"/>
    <w:rsid w:val="289B12D1"/>
    <w:rsid w:val="289B1A0B"/>
    <w:rsid w:val="29FD04D3"/>
    <w:rsid w:val="2FA564C3"/>
    <w:rsid w:val="3119107C"/>
    <w:rsid w:val="319F7F4E"/>
    <w:rsid w:val="331B5954"/>
    <w:rsid w:val="355963C8"/>
    <w:rsid w:val="3A6A4D96"/>
    <w:rsid w:val="3E390BBB"/>
    <w:rsid w:val="3EC9235C"/>
    <w:rsid w:val="4339087F"/>
    <w:rsid w:val="439C3283"/>
    <w:rsid w:val="45066306"/>
    <w:rsid w:val="46443393"/>
    <w:rsid w:val="474D10AD"/>
    <w:rsid w:val="49CD7E80"/>
    <w:rsid w:val="4A397212"/>
    <w:rsid w:val="4E7122F8"/>
    <w:rsid w:val="4ECE2238"/>
    <w:rsid w:val="4FCF37AE"/>
    <w:rsid w:val="52CC63AB"/>
    <w:rsid w:val="54E01FD7"/>
    <w:rsid w:val="559C6F94"/>
    <w:rsid w:val="57603170"/>
    <w:rsid w:val="583D639A"/>
    <w:rsid w:val="5D94604F"/>
    <w:rsid w:val="5E9A633A"/>
    <w:rsid w:val="63263084"/>
    <w:rsid w:val="6ABD5A5F"/>
    <w:rsid w:val="6F5275A4"/>
    <w:rsid w:val="70C7378C"/>
    <w:rsid w:val="71422BE3"/>
    <w:rsid w:val="72734D90"/>
    <w:rsid w:val="732A7587"/>
    <w:rsid w:val="7EE26C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ScaleCrop>false</ScaleCrop>
  <LinksUpToDate>false</LinksUpToDate>
  <CharactersWithSpaces>8536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2020-10-09T02:04:33Z</cp:lastPrinted>
  <dcterms:modified xsi:type="dcterms:W3CDTF">2020-10-09T02:04:44Z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